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19" w:rsidRDefault="00824919">
      <w:pPr>
        <w:spacing w:line="240" w:lineRule="auto"/>
        <w:jc w:val="both"/>
        <w:rPr>
          <w:rFonts w:ascii="Times New Roman" w:hAnsi="Times New Roman"/>
          <w:b/>
          <w:sz w:val="24"/>
          <w:szCs w:val="24"/>
        </w:rPr>
      </w:pPr>
      <w:r>
        <w:rPr>
          <w:rFonts w:ascii="Times New Roman" w:hAnsi="Times New Roman"/>
          <w:b/>
          <w:sz w:val="24"/>
          <w:szCs w:val="24"/>
        </w:rPr>
        <w:t>Presupuestos con perspectiva de género: la experiencia de España</w:t>
      </w:r>
    </w:p>
    <w:p w:rsidR="00824919" w:rsidRDefault="00824919">
      <w:pPr>
        <w:spacing w:line="240" w:lineRule="auto"/>
        <w:jc w:val="both"/>
        <w:rPr>
          <w:rFonts w:ascii="Times New Roman" w:hAnsi="Times New Roman"/>
          <w:b/>
          <w:sz w:val="24"/>
          <w:szCs w:val="24"/>
        </w:rPr>
      </w:pPr>
      <w:r>
        <w:rPr>
          <w:rFonts w:ascii="Times New Roman" w:hAnsi="Times New Roman"/>
          <w:b/>
          <w:sz w:val="24"/>
          <w:szCs w:val="24"/>
        </w:rPr>
        <w:t>Abstract</w:t>
      </w:r>
    </w:p>
    <w:p w:rsidR="00824919" w:rsidRDefault="00824919">
      <w:pPr>
        <w:spacing w:line="240" w:lineRule="auto"/>
        <w:jc w:val="both"/>
        <w:rPr>
          <w:rFonts w:ascii="Times New Roman" w:hAnsi="Times New Roman"/>
          <w:sz w:val="24"/>
          <w:szCs w:val="24"/>
        </w:rPr>
      </w:pPr>
      <w:r>
        <w:rPr>
          <w:rFonts w:ascii="Times New Roman" w:hAnsi="Times New Roman"/>
          <w:sz w:val="24"/>
          <w:szCs w:val="24"/>
        </w:rPr>
        <w:t>El objetivo de los presupuestos con perspectiva de género (GB) es reestructurar los gastos e ingresos públicos, eliminando las partidas que mantienen o aumentan la división sexual del trabajo y, por el contrario, aumentando o introduciendo otras que promuevan la distribución equitativa de los recursos, del empleo, del trabajo doméstico y de cuidados, así como la igualdad de oportunidades y  la ausencia de violencia en todas las esferas de la vida y de la sociedad. En resumen, el objetivo del GB es avanzar hacia una sociedad sin división sexual del trabajo (DST), sin patriarcado.</w:t>
      </w:r>
    </w:p>
    <w:p w:rsidR="00C00F38" w:rsidRDefault="00824919" w:rsidP="00C00F38">
      <w:pPr>
        <w:spacing w:line="240" w:lineRule="auto"/>
        <w:jc w:val="both"/>
        <w:rPr>
          <w:rFonts w:ascii="Times New Roman" w:hAnsi="Times New Roman"/>
          <w:sz w:val="24"/>
          <w:szCs w:val="24"/>
        </w:rPr>
      </w:pPr>
      <w:r>
        <w:rPr>
          <w:rFonts w:ascii="Times New Roman" w:hAnsi="Times New Roman"/>
          <w:sz w:val="24"/>
          <w:szCs w:val="24"/>
        </w:rPr>
        <w:t xml:space="preserve">En este artículo se describe la </w:t>
      </w:r>
      <w:r w:rsidR="00A21F84">
        <w:rPr>
          <w:rFonts w:ascii="Times New Roman" w:hAnsi="Times New Roman"/>
          <w:sz w:val="24"/>
          <w:szCs w:val="24"/>
        </w:rPr>
        <w:t xml:space="preserve">situación y </w:t>
      </w:r>
      <w:r>
        <w:rPr>
          <w:rFonts w:ascii="Times New Roman" w:hAnsi="Times New Roman"/>
          <w:sz w:val="24"/>
          <w:szCs w:val="24"/>
        </w:rPr>
        <w:t>evolución de</w:t>
      </w:r>
      <w:r w:rsidR="00A21F84">
        <w:rPr>
          <w:rFonts w:ascii="Times New Roman" w:hAnsi="Times New Roman"/>
          <w:sz w:val="24"/>
          <w:szCs w:val="24"/>
        </w:rPr>
        <w:t xml:space="preserve"> las políticas públicas, esencialmente de orientación familiarista y con escasa protección social</w:t>
      </w:r>
      <w:r>
        <w:rPr>
          <w:rFonts w:ascii="Times New Roman" w:hAnsi="Times New Roman"/>
          <w:sz w:val="24"/>
          <w:szCs w:val="24"/>
        </w:rPr>
        <w:t>. Se han producido ciertos avances legislativos</w:t>
      </w:r>
      <w:r w:rsidR="00C00F38">
        <w:rPr>
          <w:rFonts w:ascii="Times New Roman" w:hAnsi="Times New Roman"/>
          <w:sz w:val="24"/>
          <w:szCs w:val="24"/>
        </w:rPr>
        <w:t xml:space="preserve"> para intentar reducir la des</w:t>
      </w:r>
      <w:r>
        <w:rPr>
          <w:rFonts w:ascii="Times New Roman" w:hAnsi="Times New Roman"/>
          <w:sz w:val="24"/>
          <w:szCs w:val="24"/>
        </w:rPr>
        <w:t xml:space="preserve">igualdad de género. </w:t>
      </w:r>
      <w:r w:rsidR="00C00F38">
        <w:rPr>
          <w:rFonts w:ascii="Times New Roman" w:hAnsi="Times New Roman"/>
          <w:sz w:val="24"/>
          <w:szCs w:val="24"/>
        </w:rPr>
        <w:t>Se ha mejorado el sistema estadístico, se han hecho obligatorios los informes de impacto de género de las leyes y se han realizado experiencias de GB.</w:t>
      </w:r>
    </w:p>
    <w:p w:rsidR="00C00F38" w:rsidRDefault="00C00F38" w:rsidP="00C00F38">
      <w:pPr>
        <w:spacing w:line="240" w:lineRule="auto"/>
        <w:jc w:val="both"/>
        <w:rPr>
          <w:rFonts w:ascii="Times New Roman" w:hAnsi="Times New Roman"/>
          <w:sz w:val="24"/>
          <w:szCs w:val="24"/>
        </w:rPr>
      </w:pPr>
      <w:r>
        <w:rPr>
          <w:rFonts w:ascii="Times New Roman" w:hAnsi="Times New Roman"/>
          <w:sz w:val="24"/>
          <w:szCs w:val="24"/>
        </w:rPr>
        <w:t>Se analizan tres experiencias de GB ilustrativas por distintos aspectos (Presupuestos Generales del Estado y de dos regiones). Las tres presentan la misma pauta:</w:t>
      </w:r>
      <w:r w:rsidR="004E525C">
        <w:rPr>
          <w:rFonts w:ascii="Times New Roman" w:hAnsi="Times New Roman"/>
          <w:sz w:val="24"/>
          <w:szCs w:val="24"/>
        </w:rPr>
        <w:t xml:space="preserve"> gran expectación al principio </w:t>
      </w:r>
      <w:r>
        <w:rPr>
          <w:rFonts w:ascii="Times New Roman" w:hAnsi="Times New Roman"/>
          <w:sz w:val="24"/>
          <w:szCs w:val="24"/>
        </w:rPr>
        <w:t xml:space="preserve">y, </w:t>
      </w:r>
      <w:r w:rsidR="004E525C">
        <w:rPr>
          <w:rFonts w:ascii="Times New Roman" w:hAnsi="Times New Roman"/>
          <w:sz w:val="24"/>
          <w:szCs w:val="24"/>
        </w:rPr>
        <w:t>posteriormente</w:t>
      </w:r>
      <w:r>
        <w:rPr>
          <w:rFonts w:ascii="Times New Roman" w:hAnsi="Times New Roman"/>
          <w:sz w:val="24"/>
          <w:szCs w:val="24"/>
        </w:rPr>
        <w:t xml:space="preserve">, fin o congelación de la experiencia. </w:t>
      </w:r>
    </w:p>
    <w:p w:rsidR="00824919" w:rsidRDefault="00C00F38">
      <w:pPr>
        <w:spacing w:line="240" w:lineRule="auto"/>
        <w:jc w:val="both"/>
        <w:rPr>
          <w:rFonts w:ascii="Times New Roman" w:hAnsi="Times New Roman"/>
          <w:sz w:val="24"/>
          <w:szCs w:val="24"/>
        </w:rPr>
      </w:pPr>
      <w:r>
        <w:rPr>
          <w:rFonts w:ascii="Times New Roman" w:hAnsi="Times New Roman"/>
          <w:sz w:val="24"/>
          <w:szCs w:val="24"/>
        </w:rPr>
        <w:t>Con todo, h</w:t>
      </w:r>
      <w:r w:rsidR="00824919">
        <w:rPr>
          <w:rFonts w:ascii="Times New Roman" w:hAnsi="Times New Roman"/>
          <w:sz w:val="24"/>
          <w:szCs w:val="24"/>
        </w:rPr>
        <w:t>a aumentado considerablemente la conciencia de la ciudadanía y se han producido debates sociales sobre reformas estructurales</w:t>
      </w:r>
      <w:r>
        <w:rPr>
          <w:rFonts w:ascii="Times New Roman" w:hAnsi="Times New Roman"/>
          <w:sz w:val="24"/>
          <w:szCs w:val="24"/>
        </w:rPr>
        <w:t>,</w:t>
      </w:r>
      <w:r w:rsidR="00824919">
        <w:rPr>
          <w:rFonts w:ascii="Times New Roman" w:hAnsi="Times New Roman"/>
          <w:sz w:val="24"/>
          <w:szCs w:val="24"/>
        </w:rPr>
        <w:t xml:space="preserve"> que responden a necesidades perentorias </w:t>
      </w:r>
      <w:r w:rsidR="004E525C">
        <w:rPr>
          <w:rFonts w:ascii="Times New Roman" w:hAnsi="Times New Roman"/>
          <w:sz w:val="24"/>
          <w:szCs w:val="24"/>
        </w:rPr>
        <w:t>y</w:t>
      </w:r>
      <w:r w:rsidR="00824919">
        <w:rPr>
          <w:rFonts w:ascii="Times New Roman" w:hAnsi="Times New Roman"/>
          <w:sz w:val="24"/>
          <w:szCs w:val="24"/>
        </w:rPr>
        <w:t xml:space="preserve"> son condición necesaria para socavar la DST. </w:t>
      </w:r>
      <w:r>
        <w:rPr>
          <w:rFonts w:ascii="Times New Roman" w:hAnsi="Times New Roman"/>
          <w:sz w:val="24"/>
          <w:szCs w:val="24"/>
        </w:rPr>
        <w:t>E</w:t>
      </w:r>
      <w:r w:rsidR="00824919">
        <w:rPr>
          <w:rFonts w:ascii="Times New Roman" w:hAnsi="Times New Roman"/>
          <w:sz w:val="24"/>
          <w:szCs w:val="24"/>
        </w:rPr>
        <w:t xml:space="preserve">ntre </w:t>
      </w:r>
      <w:r>
        <w:rPr>
          <w:rFonts w:ascii="Times New Roman" w:hAnsi="Times New Roman"/>
          <w:sz w:val="24"/>
          <w:szCs w:val="24"/>
        </w:rPr>
        <w:t xml:space="preserve">ellas </w:t>
      </w:r>
      <w:r w:rsidR="00824919">
        <w:rPr>
          <w:rFonts w:ascii="Times New Roman" w:hAnsi="Times New Roman"/>
          <w:sz w:val="24"/>
          <w:szCs w:val="24"/>
        </w:rPr>
        <w:t xml:space="preserve">destacan la universalización de la atención a la dependencia y de la atención/educación infantil; los permisos parentales igualitarios; las políticas laborales, en particular la reducción de jornada; y la eliminación de los incentivos al matrimonio y al cuidado en el hogar. Pero </w:t>
      </w:r>
      <w:r w:rsidR="004E525C">
        <w:rPr>
          <w:rFonts w:ascii="Times New Roman" w:hAnsi="Times New Roman"/>
          <w:sz w:val="24"/>
          <w:szCs w:val="24"/>
        </w:rPr>
        <w:t xml:space="preserve">ninguna de ellas </w:t>
      </w:r>
      <w:r w:rsidR="00824919">
        <w:rPr>
          <w:rFonts w:ascii="Times New Roman" w:hAnsi="Times New Roman"/>
          <w:sz w:val="24"/>
          <w:szCs w:val="24"/>
        </w:rPr>
        <w:t xml:space="preserve">se ha llegado a abordar </w:t>
      </w:r>
      <w:r w:rsidR="00A21F84">
        <w:rPr>
          <w:rFonts w:ascii="Times New Roman" w:hAnsi="Times New Roman"/>
          <w:sz w:val="24"/>
          <w:szCs w:val="24"/>
        </w:rPr>
        <w:t>sustancialmente.</w:t>
      </w:r>
    </w:p>
    <w:p w:rsidR="00824919" w:rsidRDefault="00824919">
      <w:pPr>
        <w:spacing w:line="240" w:lineRule="auto"/>
        <w:ind w:left="60"/>
        <w:jc w:val="both"/>
        <w:rPr>
          <w:rFonts w:ascii="Times New Roman" w:hAnsi="Times New Roman"/>
          <w:sz w:val="24"/>
          <w:szCs w:val="24"/>
        </w:rPr>
      </w:pPr>
      <w:r>
        <w:rPr>
          <w:rFonts w:ascii="Times New Roman" w:hAnsi="Times New Roman"/>
          <w:sz w:val="24"/>
          <w:szCs w:val="24"/>
        </w:rPr>
        <w:t>La conclusión fundamental: después de dos décadas de intentar cambiar la orientación de los presupuestos públicos mediante procesos de GB, quizás ha llegado el momento de apelar a la voluntad política de quienes tienen que tomar las decisiones de políticas públicas al más alto nivel.</w:t>
      </w:r>
    </w:p>
    <w:p w:rsidR="00824919" w:rsidRDefault="00824919">
      <w:pPr>
        <w:spacing w:line="240" w:lineRule="auto"/>
        <w:jc w:val="both"/>
        <w:rPr>
          <w:rFonts w:ascii="Times New Roman" w:hAnsi="Times New Roman"/>
          <w:b/>
          <w:sz w:val="24"/>
          <w:szCs w:val="24"/>
        </w:rPr>
      </w:pPr>
      <w:r>
        <w:rPr>
          <w:rFonts w:ascii="Times New Roman" w:hAnsi="Times New Roman"/>
          <w:b/>
          <w:sz w:val="24"/>
          <w:szCs w:val="24"/>
        </w:rPr>
        <w:t>1.- Contexto del país</w:t>
      </w:r>
    </w:p>
    <w:p w:rsidR="00824919" w:rsidRDefault="00824919">
      <w:pPr>
        <w:spacing w:line="240" w:lineRule="auto"/>
        <w:jc w:val="both"/>
        <w:rPr>
          <w:rFonts w:ascii="Times New Roman" w:hAnsi="Times New Roman"/>
          <w:sz w:val="24"/>
          <w:szCs w:val="24"/>
        </w:rPr>
      </w:pPr>
      <w:r>
        <w:rPr>
          <w:rFonts w:ascii="Times New Roman" w:hAnsi="Times New Roman"/>
          <w:sz w:val="24"/>
          <w:szCs w:val="24"/>
        </w:rPr>
        <w:t>España es un país tradicionalmente conservador. El gasto social es más bajo que la media de la UE y está orientado en gran medida al mantenimiento de la familia tradicional (ejemplos: prestaciones y desgravaciones para el cuidado en casa, incentivos fiscales y legales al matrimonio).</w:t>
      </w:r>
    </w:p>
    <w:p w:rsidR="003A4343"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Después de 40 años de contra-</w:t>
      </w:r>
      <w:r w:rsidR="003A4343">
        <w:rPr>
          <w:rFonts w:ascii="Times New Roman" w:hAnsi="Times New Roman"/>
          <w:sz w:val="24"/>
          <w:szCs w:val="24"/>
        </w:rPr>
        <w:t xml:space="preserve">reacción </w:t>
      </w:r>
      <w:r>
        <w:rPr>
          <w:rFonts w:ascii="Times New Roman" w:hAnsi="Times New Roman"/>
          <w:sz w:val="24"/>
          <w:szCs w:val="24"/>
        </w:rPr>
        <w:t xml:space="preserve">patriarcal bajo una dictadura férrea, la Constitución de 1978 reconoció formalmente la igualdad entre mujeres y hombres. Las primeras políticas de igualdad datan de 1986, cuando se creó el "Instituto de la Mujer" con </w:t>
      </w:r>
      <w:r w:rsidR="00A21F84">
        <w:rPr>
          <w:rFonts w:ascii="Times New Roman" w:hAnsi="Times New Roman"/>
          <w:sz w:val="24"/>
          <w:szCs w:val="24"/>
        </w:rPr>
        <w:t xml:space="preserve">la orientación </w:t>
      </w:r>
      <w:r>
        <w:rPr>
          <w:rFonts w:ascii="Times New Roman" w:hAnsi="Times New Roman"/>
          <w:sz w:val="24"/>
          <w:szCs w:val="24"/>
        </w:rPr>
        <w:t xml:space="preserve">de ejecutar "políticas de igualdad". </w:t>
      </w:r>
    </w:p>
    <w:p w:rsidR="00824919" w:rsidRDefault="00824919" w:rsidP="003A4343">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A partir del Congreso de </w:t>
      </w:r>
      <w:r w:rsidR="003A4343">
        <w:rPr>
          <w:rFonts w:ascii="Times New Roman" w:hAnsi="Times New Roman"/>
          <w:sz w:val="24"/>
          <w:szCs w:val="24"/>
        </w:rPr>
        <w:t>la ONU sobre la Mujer en Beigin,</w:t>
      </w:r>
      <w:r>
        <w:rPr>
          <w:rFonts w:ascii="Times New Roman" w:hAnsi="Times New Roman"/>
          <w:sz w:val="24"/>
          <w:szCs w:val="24"/>
        </w:rPr>
        <w:t xml:space="preserve"> 1995, el Gobierno español decide adoptar la orientación del Gender </w:t>
      </w:r>
      <w:r w:rsidR="00A21F84">
        <w:rPr>
          <w:rFonts w:ascii="Times New Roman" w:hAnsi="Times New Roman"/>
          <w:sz w:val="24"/>
          <w:szCs w:val="24"/>
        </w:rPr>
        <w:t>M</w:t>
      </w:r>
      <w:r>
        <w:rPr>
          <w:rFonts w:ascii="Times New Roman" w:hAnsi="Times New Roman"/>
          <w:sz w:val="24"/>
          <w:szCs w:val="24"/>
        </w:rPr>
        <w:t>ainstreaming</w:t>
      </w:r>
      <w:r w:rsidR="00A21F84">
        <w:rPr>
          <w:rFonts w:ascii="Times New Roman" w:hAnsi="Times New Roman"/>
          <w:sz w:val="24"/>
          <w:szCs w:val="24"/>
        </w:rPr>
        <w:t xml:space="preserve"> (GM)</w:t>
      </w:r>
      <w:r>
        <w:rPr>
          <w:rFonts w:ascii="Times New Roman" w:hAnsi="Times New Roman"/>
          <w:sz w:val="24"/>
          <w:szCs w:val="24"/>
        </w:rPr>
        <w:t>.</w:t>
      </w:r>
      <w:r w:rsidR="003A4343">
        <w:rPr>
          <w:rFonts w:ascii="Times New Roman" w:hAnsi="Times New Roman"/>
          <w:sz w:val="24"/>
          <w:szCs w:val="24"/>
        </w:rPr>
        <w:t xml:space="preserve"> </w:t>
      </w:r>
      <w:r>
        <w:rPr>
          <w:rFonts w:ascii="Times New Roman" w:hAnsi="Times New Roman"/>
          <w:sz w:val="24"/>
          <w:szCs w:val="24"/>
        </w:rPr>
        <w:t>A principios de este siglo, el GB llegó a la agenda de los organismos de igualdad y de l</w:t>
      </w:r>
      <w:r w:rsidR="003A4343">
        <w:rPr>
          <w:rFonts w:ascii="Times New Roman" w:hAnsi="Times New Roman"/>
          <w:sz w:val="24"/>
          <w:szCs w:val="24"/>
        </w:rPr>
        <w:t>as organizaciones feministas</w:t>
      </w:r>
      <w:r>
        <w:rPr>
          <w:rFonts w:ascii="Times New Roman" w:hAnsi="Times New Roman"/>
          <w:sz w:val="24"/>
          <w:szCs w:val="24"/>
        </w:rPr>
        <w:t>.</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En 2003 se emite la Ley 30/2003, que establece la obligatoriedad de que todos los anteproyectos de leyes y reglamentos que se presenten al Consejo de Ministros vayan acompañados de un informe de impacto de género. </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En 2007, la Ley orgánica 3/2007 para la igualdad efectiva de mujeres y hombres (Ley de Igualdad) refuerza esta obligatoriedad y la extiende a todos los proyectos y planes de relevancia. También ordena "</w:t>
      </w:r>
      <w:r>
        <w:rPr>
          <w:rFonts w:ascii="Times New Roman" w:hAnsi="Times New Roman"/>
          <w:i/>
          <w:sz w:val="24"/>
          <w:szCs w:val="24"/>
        </w:rPr>
        <w:t xml:space="preserve">Incluir </w:t>
      </w:r>
      <w:r w:rsidR="00A21F84">
        <w:rPr>
          <w:rFonts w:ascii="Times New Roman" w:hAnsi="Times New Roman"/>
          <w:i/>
          <w:sz w:val="24"/>
          <w:szCs w:val="24"/>
        </w:rPr>
        <w:t xml:space="preserve">sistemáticamente la variable </w:t>
      </w:r>
      <w:r>
        <w:rPr>
          <w:rFonts w:ascii="Times New Roman" w:hAnsi="Times New Roman"/>
          <w:i/>
          <w:sz w:val="24"/>
          <w:szCs w:val="24"/>
        </w:rPr>
        <w:t>sexo en las estadística</w:t>
      </w:r>
      <w:r w:rsidR="00A21F84">
        <w:rPr>
          <w:rFonts w:ascii="Times New Roman" w:hAnsi="Times New Roman"/>
          <w:i/>
          <w:sz w:val="24"/>
          <w:szCs w:val="24"/>
        </w:rPr>
        <w:t>s, encuestas y recogida de datos</w:t>
      </w:r>
      <w:r>
        <w:rPr>
          <w:rFonts w:ascii="Times New Roman" w:hAnsi="Times New Roman"/>
          <w:i/>
          <w:sz w:val="24"/>
          <w:szCs w:val="24"/>
        </w:rPr>
        <w:t xml:space="preserve"> </w:t>
      </w:r>
      <w:r>
        <w:rPr>
          <w:rFonts w:ascii="Times New Roman" w:hAnsi="Times New Roman"/>
          <w:sz w:val="24"/>
          <w:szCs w:val="24"/>
        </w:rPr>
        <w:t>"; crear nuevos indicadores y mecanismos para conocer la discriminación; aumentar el tamaño de las muestras; y otras mejoras en las estadísticas.</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También, en la misma Ley, se crea la Comisión interministerial para la igualdad de género, y unidades de igualdad en todos los ministerios. Se establece la obligatoriedad de que las listas electorales tengan al menos </w:t>
      </w:r>
      <w:r>
        <w:rPr>
          <w:rFonts w:ascii="Times New Roman" w:hAnsi="Times New Roman"/>
          <w:sz w:val="24"/>
          <w:szCs w:val="24"/>
        </w:rPr>
        <w:lastRenderedPageBreak/>
        <w:t>el 40% de cada sexo para ser admitidas; la obligación de elaborar planes de igualad en las empresas de</w:t>
      </w:r>
      <w:r w:rsidR="009370D8">
        <w:rPr>
          <w:rFonts w:ascii="Times New Roman" w:hAnsi="Times New Roman"/>
          <w:sz w:val="24"/>
          <w:szCs w:val="24"/>
        </w:rPr>
        <w:t xml:space="preserve"> </w:t>
      </w:r>
      <w:r>
        <w:rPr>
          <w:rFonts w:ascii="Times New Roman" w:hAnsi="Times New Roman"/>
          <w:sz w:val="24"/>
          <w:szCs w:val="24"/>
        </w:rPr>
        <w:t xml:space="preserve">más de </w:t>
      </w:r>
      <w:r w:rsidR="009370D8">
        <w:rPr>
          <w:rFonts w:ascii="Times New Roman" w:hAnsi="Times New Roman"/>
          <w:sz w:val="24"/>
          <w:szCs w:val="24"/>
        </w:rPr>
        <w:t>250 personas empleadas (ampliado a las de más de 50 en 2022)</w:t>
      </w:r>
      <w:r>
        <w:rPr>
          <w:rFonts w:ascii="Times New Roman" w:hAnsi="Times New Roman"/>
          <w:sz w:val="24"/>
          <w:szCs w:val="24"/>
        </w:rPr>
        <w:t xml:space="preserve">, entre otras medidas. </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La elaboración de los informes de impacto de género se ha ido generalizando y mejorando en su apariencia. En los primeros años,  la inmensa mayoría de estos informes se limitaban a una o dos páginas para cumplir formalmente con la obligación legal, bien  declarando que la medida en cuestión era irrelevante respecto al género o bien que su impacto era positivo.</w:t>
      </w:r>
    </w:p>
    <w:p w:rsidR="00824919" w:rsidRDefault="00807816">
      <w:pPr>
        <w:tabs>
          <w:tab w:val="left" w:pos="720"/>
        </w:tabs>
        <w:spacing w:line="240" w:lineRule="auto"/>
        <w:jc w:val="both"/>
        <w:rPr>
          <w:rFonts w:ascii="Times New Roman" w:hAnsi="Times New Roman"/>
          <w:sz w:val="24"/>
          <w:szCs w:val="24"/>
        </w:rPr>
      </w:pPr>
      <w:r>
        <w:rPr>
          <w:rFonts w:ascii="Times New Roman" w:hAnsi="Times New Roman"/>
          <w:sz w:val="24"/>
          <w:szCs w:val="24"/>
        </w:rPr>
        <w:t>Posteriormente se ha</w:t>
      </w:r>
      <w:r w:rsidR="006205C7">
        <w:rPr>
          <w:rFonts w:ascii="Times New Roman" w:hAnsi="Times New Roman"/>
          <w:sz w:val="24"/>
          <w:szCs w:val="24"/>
        </w:rPr>
        <w:t>n</w:t>
      </w:r>
      <w:r>
        <w:rPr>
          <w:rFonts w:ascii="Times New Roman" w:hAnsi="Times New Roman"/>
          <w:sz w:val="24"/>
          <w:szCs w:val="24"/>
        </w:rPr>
        <w:t xml:space="preserve"> ido </w:t>
      </w:r>
      <w:r w:rsidR="00824919">
        <w:rPr>
          <w:rFonts w:ascii="Times New Roman" w:hAnsi="Times New Roman"/>
          <w:sz w:val="24"/>
          <w:szCs w:val="24"/>
        </w:rPr>
        <w:t>incluyendo indicadores de desigualdad de género en la población afectada. En algunos casos excepcionales, en el proceso de evaluación se cambia el contenido del programa para incluir acciones correctoras de la desigualdad.</w:t>
      </w:r>
      <w:r>
        <w:rPr>
          <w:rFonts w:ascii="Times New Roman" w:hAnsi="Times New Roman"/>
          <w:sz w:val="24"/>
          <w:szCs w:val="24"/>
        </w:rPr>
        <w:t xml:space="preserve"> </w:t>
      </w:r>
      <w:r w:rsidR="00824919">
        <w:rPr>
          <w:rFonts w:ascii="Times New Roman" w:hAnsi="Times New Roman"/>
          <w:sz w:val="24"/>
          <w:szCs w:val="24"/>
        </w:rPr>
        <w:t xml:space="preserve">Pero, </w:t>
      </w:r>
      <w:r>
        <w:rPr>
          <w:rFonts w:ascii="Times New Roman" w:hAnsi="Times New Roman"/>
          <w:sz w:val="24"/>
          <w:szCs w:val="24"/>
        </w:rPr>
        <w:t xml:space="preserve">casi dos décadas </w:t>
      </w:r>
      <w:r w:rsidR="00824919">
        <w:rPr>
          <w:rFonts w:ascii="Times New Roman" w:hAnsi="Times New Roman"/>
          <w:sz w:val="24"/>
          <w:szCs w:val="24"/>
        </w:rPr>
        <w:t>después, la conclusión sistemática de estos informes</w:t>
      </w:r>
      <w:r>
        <w:rPr>
          <w:rFonts w:ascii="Times New Roman" w:hAnsi="Times New Roman"/>
          <w:sz w:val="24"/>
          <w:szCs w:val="24"/>
        </w:rPr>
        <w:t>, incluidos los de los presupuestos,</w:t>
      </w:r>
      <w:r w:rsidR="00824919">
        <w:rPr>
          <w:rFonts w:ascii="Times New Roman" w:hAnsi="Times New Roman"/>
          <w:sz w:val="24"/>
          <w:szCs w:val="24"/>
        </w:rPr>
        <w:t xml:space="preserve"> sigue siendo la misma: o bien que el programa en cuestión no tiene relevancia respecto al género, o bien que su impacto es positivo (</w:t>
      </w:r>
      <w:hyperlink r:id="rId7" w:history="1">
        <w:r w:rsidR="00824919" w:rsidRPr="00807816">
          <w:rPr>
            <w:rStyle w:val="Hipervnculo"/>
            <w:rFonts w:ascii="Times New Roman" w:hAnsi="Times New Roman"/>
            <w:sz w:val="24"/>
            <w:szCs w:val="24"/>
          </w:rPr>
          <w:t>Marugán, 2020</w:t>
        </w:r>
      </w:hyperlink>
      <w:r w:rsidR="00824919">
        <w:rPr>
          <w:rFonts w:ascii="Times New Roman" w:hAnsi="Times New Roman"/>
          <w:sz w:val="24"/>
          <w:szCs w:val="24"/>
        </w:rPr>
        <w:t xml:space="preserve">). </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 Cabe preguntarse: ¿positivo en comparación con qué? </w:t>
      </w:r>
      <w:r w:rsidR="003A4343">
        <w:rPr>
          <w:rFonts w:ascii="Times New Roman" w:hAnsi="Times New Roman"/>
          <w:sz w:val="24"/>
          <w:szCs w:val="24"/>
        </w:rPr>
        <w:t>S</w:t>
      </w:r>
      <w:r>
        <w:rPr>
          <w:rFonts w:ascii="Times New Roman" w:hAnsi="Times New Roman"/>
          <w:sz w:val="24"/>
          <w:szCs w:val="24"/>
        </w:rPr>
        <w:t>i fuera en comparación con su inexistencia, muchos programas tendrían impacto de género positivo. Pero, ¿en qué medida han contribuido estos informes a cambiar la orientación de</w:t>
      </w:r>
      <w:r w:rsidR="003A4343">
        <w:rPr>
          <w:rFonts w:ascii="Times New Roman" w:hAnsi="Times New Roman"/>
          <w:sz w:val="24"/>
          <w:szCs w:val="24"/>
        </w:rPr>
        <w:t xml:space="preserve"> los </w:t>
      </w:r>
      <w:r>
        <w:rPr>
          <w:rFonts w:ascii="Times New Roman" w:hAnsi="Times New Roman"/>
          <w:sz w:val="24"/>
          <w:szCs w:val="24"/>
        </w:rPr>
        <w:t>presupuesto</w:t>
      </w:r>
      <w:r w:rsidR="003A4343">
        <w:rPr>
          <w:rFonts w:ascii="Times New Roman" w:hAnsi="Times New Roman"/>
          <w:sz w:val="24"/>
          <w:szCs w:val="24"/>
        </w:rPr>
        <w:t>s,</w:t>
      </w:r>
      <w:r>
        <w:rPr>
          <w:rFonts w:ascii="Times New Roman" w:hAnsi="Times New Roman"/>
          <w:sz w:val="24"/>
          <w:szCs w:val="24"/>
        </w:rPr>
        <w:t xml:space="preserve"> que era el objetivo del GB?</w:t>
      </w:r>
    </w:p>
    <w:p w:rsidR="00824919" w:rsidRDefault="00807816">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Generalmente </w:t>
      </w:r>
      <w:r w:rsidR="00824919">
        <w:rPr>
          <w:rFonts w:ascii="Times New Roman" w:hAnsi="Times New Roman"/>
          <w:sz w:val="24"/>
          <w:szCs w:val="24"/>
        </w:rPr>
        <w:t>no encontramos ni siquiera un análisis de incidencia o distribución de las grandes partidas de gasto sobre mujeres y hombres; menos aún de los impactos sobre el comportamiento y, en consecuencia, sobre los roles de género y la división sexual del trabajo.</w:t>
      </w:r>
    </w:p>
    <w:p w:rsidR="00824919" w:rsidRDefault="00824919">
      <w:pPr>
        <w:tabs>
          <w:tab w:val="left" w:pos="720"/>
        </w:tabs>
        <w:spacing w:line="240" w:lineRule="auto"/>
        <w:jc w:val="both"/>
        <w:rPr>
          <w:rFonts w:ascii="Times New Roman" w:hAnsi="Times New Roman"/>
          <w:b/>
          <w:sz w:val="24"/>
          <w:szCs w:val="24"/>
        </w:rPr>
      </w:pPr>
      <w:r>
        <w:rPr>
          <w:rFonts w:ascii="Times New Roman" w:hAnsi="Times New Roman"/>
          <w:b/>
          <w:sz w:val="24"/>
          <w:szCs w:val="24"/>
        </w:rPr>
        <w:t>2.- Debate sobre las políticas públicas</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Mucha atención y muchas esperanzas se suscitaron a partir de la definición por parte de la UE, y su adopción formal por España, primero de la estrategia del </w:t>
      </w:r>
      <w:r w:rsidR="006205C7">
        <w:rPr>
          <w:rFonts w:ascii="Times New Roman" w:hAnsi="Times New Roman"/>
          <w:sz w:val="24"/>
          <w:szCs w:val="24"/>
        </w:rPr>
        <w:t xml:space="preserve">GM </w:t>
      </w:r>
      <w:r>
        <w:rPr>
          <w:rFonts w:ascii="Times New Roman" w:hAnsi="Times New Roman"/>
          <w:sz w:val="24"/>
          <w:szCs w:val="24"/>
        </w:rPr>
        <w:t>y posteriormente de</w:t>
      </w:r>
      <w:r w:rsidR="003A4343">
        <w:rPr>
          <w:rFonts w:ascii="Times New Roman" w:hAnsi="Times New Roman"/>
          <w:sz w:val="24"/>
          <w:szCs w:val="24"/>
        </w:rPr>
        <w:t>l GB</w:t>
      </w:r>
      <w:r>
        <w:rPr>
          <w:rFonts w:ascii="Times New Roman" w:hAnsi="Times New Roman"/>
          <w:sz w:val="24"/>
          <w:szCs w:val="24"/>
        </w:rPr>
        <w:t>. Habíamos comprobado que los "organismos de igualdad" no podían compensar la desigualdad, y que por tanto había que cambiar la corriente principal de las políticas públicas. Pero, una vez que se crearon las unidades de igualdad en todos los ministerios y organismos; una vez que las AAPP empezaron a elaborar los informes de impacto de género de los presupuestos, se comprobó que estos mecanismos tenían sus limitaciones como instrumento para avanzar en el objetivo declarado del GB: cambiar la estructura de los ingresos y gastos públicos. Así que la atención pública se apartó de esos procesos, a la vez que el debate sobre las reformas estructurales cobraba importancia.</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En 2004, el nuevo presidente del Gobierno declaró que era feminista, nombró un gobierno paritario y quiso que la primera ley aprobada y el emblema de su legislatura fuera la Ley contra la violencia de género (Ley Orgánica 1/2004). Estos gestos tuvieron un enorme efecto mediático y pusieron la igualdad/desigualdad de género en primer plano del debate político.</w:t>
      </w:r>
    </w:p>
    <w:p w:rsidR="00485C2E"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En 2006 se aprobó la Ley de Dependencia (Ley 39/2006 de Promoción de la Autonomía Personal y Atención a las personas en situación de dependencia). Esta Ley reconocía por primera vez el derecho a la atención (aunque no a la atención suficiente) y fijaba un catálogo de prestaciones. Entre ellas se en</w:t>
      </w:r>
      <w:r w:rsidR="00621F52">
        <w:rPr>
          <w:rFonts w:ascii="Times New Roman" w:hAnsi="Times New Roman"/>
          <w:sz w:val="24"/>
          <w:szCs w:val="24"/>
        </w:rPr>
        <w:t>cuentra</w:t>
      </w:r>
      <w:r>
        <w:rPr>
          <w:rFonts w:ascii="Times New Roman" w:hAnsi="Times New Roman"/>
          <w:sz w:val="24"/>
          <w:szCs w:val="24"/>
        </w:rPr>
        <w:t xml:space="preserve"> la "prestación por cuidados en el entorno familiar", que otorga una exigua paga a las cuidadoras familiares 24h/7días (llamada popularmente "la paguita"). </w:t>
      </w:r>
    </w:p>
    <w:p w:rsidR="00824919" w:rsidRDefault="00112D75">
      <w:pPr>
        <w:tabs>
          <w:tab w:val="left" w:pos="720"/>
        </w:tabs>
        <w:spacing w:line="24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85pt;width:216.75pt;height:118.2pt;z-index:251657728;mso-position-horizontal:left" stroked="t">
            <v:imagedata r:id="rId8" o:title=""/>
            <w10:wrap type="square"/>
          </v:shape>
        </w:pict>
      </w:r>
      <w:r w:rsidR="00485C2E">
        <w:rPr>
          <w:rFonts w:ascii="Times New Roman" w:hAnsi="Times New Roman"/>
          <w:sz w:val="24"/>
          <w:szCs w:val="24"/>
        </w:rPr>
        <w:t xml:space="preserve"> </w:t>
      </w:r>
      <w:r w:rsidR="00824919">
        <w:rPr>
          <w:rFonts w:ascii="Times New Roman" w:hAnsi="Times New Roman"/>
          <w:sz w:val="24"/>
          <w:szCs w:val="24"/>
        </w:rPr>
        <w:t>Esta pr</w:t>
      </w:r>
      <w:r w:rsidR="003A4343">
        <w:rPr>
          <w:rFonts w:ascii="Times New Roman" w:hAnsi="Times New Roman"/>
          <w:sz w:val="24"/>
          <w:szCs w:val="24"/>
        </w:rPr>
        <w:t xml:space="preserve">estación </w:t>
      </w:r>
      <w:r w:rsidR="00824919">
        <w:rPr>
          <w:rFonts w:ascii="Times New Roman" w:hAnsi="Times New Roman"/>
          <w:sz w:val="24"/>
          <w:szCs w:val="24"/>
        </w:rPr>
        <w:t xml:space="preserve">fue objeto de intenso debate (la mayoría de las mujeres parlamentarias y muchas feministas se oponían a ella). Por fin se incluyó en la Ley con carácter excepcional debido a su </w:t>
      </w:r>
      <w:r w:rsidR="003208B8">
        <w:rPr>
          <w:rFonts w:ascii="Times New Roman" w:hAnsi="Times New Roman"/>
          <w:sz w:val="24"/>
          <w:szCs w:val="24"/>
        </w:rPr>
        <w:t xml:space="preserve">reconocido </w:t>
      </w:r>
      <w:r w:rsidR="00824919">
        <w:rPr>
          <w:rFonts w:ascii="Times New Roman" w:hAnsi="Times New Roman"/>
          <w:sz w:val="24"/>
          <w:szCs w:val="24"/>
        </w:rPr>
        <w:t>impacto de género nega</w:t>
      </w:r>
      <w:r w:rsidR="003208B8">
        <w:rPr>
          <w:rFonts w:ascii="Times New Roman" w:hAnsi="Times New Roman"/>
          <w:sz w:val="24"/>
          <w:szCs w:val="24"/>
        </w:rPr>
        <w:t>tivo</w:t>
      </w:r>
      <w:r w:rsidR="00824919">
        <w:rPr>
          <w:rFonts w:ascii="Times New Roman" w:hAnsi="Times New Roman"/>
          <w:sz w:val="24"/>
          <w:szCs w:val="24"/>
        </w:rPr>
        <w:t xml:space="preserve">. Y, como era de prever, "la paguita" se convirtió en la medida </w:t>
      </w:r>
      <w:r w:rsidR="004426F7">
        <w:rPr>
          <w:rFonts w:ascii="Times New Roman" w:hAnsi="Times New Roman"/>
          <w:sz w:val="24"/>
          <w:szCs w:val="24"/>
        </w:rPr>
        <w:t>estrella</w:t>
      </w:r>
      <w:r w:rsidR="00621F52">
        <w:rPr>
          <w:rFonts w:ascii="Times New Roman" w:hAnsi="Times New Roman"/>
          <w:sz w:val="24"/>
          <w:szCs w:val="24"/>
        </w:rPr>
        <w:t xml:space="preserve"> </w:t>
      </w:r>
      <w:r w:rsidR="003A4343">
        <w:rPr>
          <w:rFonts w:ascii="Times New Roman" w:hAnsi="Times New Roman"/>
          <w:sz w:val="24"/>
          <w:szCs w:val="24"/>
        </w:rPr>
        <w:t xml:space="preserve">del Sistema de Atención a la Dependencia (SAAD); </w:t>
      </w:r>
      <w:r w:rsidR="00621F52">
        <w:rPr>
          <w:rFonts w:ascii="Times New Roman" w:hAnsi="Times New Roman"/>
          <w:sz w:val="24"/>
          <w:szCs w:val="24"/>
        </w:rPr>
        <w:t>junto</w:t>
      </w:r>
      <w:r w:rsidR="004426F7">
        <w:rPr>
          <w:rFonts w:ascii="Times New Roman" w:hAnsi="Times New Roman"/>
          <w:sz w:val="24"/>
          <w:szCs w:val="24"/>
        </w:rPr>
        <w:t xml:space="preserve"> con la ayuda a domicilio</w:t>
      </w:r>
      <w:r w:rsidR="003208B8">
        <w:rPr>
          <w:rFonts w:ascii="Times New Roman" w:hAnsi="Times New Roman"/>
          <w:sz w:val="24"/>
          <w:szCs w:val="24"/>
        </w:rPr>
        <w:t xml:space="preserve">. Ambas cuentan con la cuidadora familiar, que es </w:t>
      </w:r>
      <w:r w:rsidR="004426F7">
        <w:rPr>
          <w:rFonts w:ascii="Times New Roman" w:hAnsi="Times New Roman"/>
          <w:sz w:val="24"/>
          <w:szCs w:val="24"/>
        </w:rPr>
        <w:t>la figura principal</w:t>
      </w:r>
      <w:r>
        <w:rPr>
          <w:rFonts w:ascii="Times New Roman" w:hAnsi="Times New Roman"/>
          <w:sz w:val="24"/>
          <w:szCs w:val="24"/>
        </w:rPr>
        <w:t xml:space="preserve"> del sistema</w:t>
      </w:r>
      <w:r w:rsidR="004426F7">
        <w:rPr>
          <w:rFonts w:ascii="Times New Roman" w:hAnsi="Times New Roman"/>
          <w:sz w:val="24"/>
          <w:szCs w:val="24"/>
        </w:rPr>
        <w:t>:</w:t>
      </w:r>
      <w:r w:rsidR="00AF5910">
        <w:rPr>
          <w:rFonts w:ascii="Times New Roman" w:hAnsi="Times New Roman"/>
          <w:sz w:val="24"/>
          <w:szCs w:val="24"/>
        </w:rPr>
        <w:t>.</w:t>
      </w:r>
      <w:r w:rsidR="00AF5910" w:rsidRPr="00AF5910">
        <w:rPr>
          <w:noProof/>
          <w:lang w:eastAsia="es-ES"/>
        </w:rPr>
        <w:t xml:space="preserve"> </w:t>
      </w:r>
      <w:r w:rsidR="00824919">
        <w:rPr>
          <w:rFonts w:ascii="Times New Roman" w:hAnsi="Times New Roman"/>
          <w:sz w:val="24"/>
          <w:szCs w:val="24"/>
        </w:rPr>
        <w:t xml:space="preserve"> </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Por otro lado, las grandes empresas (en muchos casos grandes fondos de inversión) acaparan la </w:t>
      </w:r>
      <w:r w:rsidR="003208B8">
        <w:rPr>
          <w:rFonts w:ascii="Times New Roman" w:hAnsi="Times New Roman"/>
          <w:sz w:val="24"/>
          <w:szCs w:val="24"/>
        </w:rPr>
        <w:t xml:space="preserve">gestión </w:t>
      </w:r>
      <w:r>
        <w:rPr>
          <w:rFonts w:ascii="Times New Roman" w:hAnsi="Times New Roman"/>
          <w:sz w:val="24"/>
          <w:szCs w:val="24"/>
        </w:rPr>
        <w:t xml:space="preserve">de los servicios de financiación pública, lo que hace que las trabajadoras sean cada vez más precarias y la </w:t>
      </w:r>
      <w:r>
        <w:rPr>
          <w:rFonts w:ascii="Times New Roman" w:hAnsi="Times New Roman"/>
          <w:sz w:val="24"/>
          <w:szCs w:val="24"/>
        </w:rPr>
        <w:lastRenderedPageBreak/>
        <w:t>atención sea cada vez más deficiente. Entre 2022 y 2023, el gasto total de atención a la dependencia subió un 12.57%. Este aume</w:t>
      </w:r>
      <w:r w:rsidR="006205C7">
        <w:rPr>
          <w:rFonts w:ascii="Times New Roman" w:hAnsi="Times New Roman"/>
          <w:sz w:val="24"/>
          <w:szCs w:val="24"/>
        </w:rPr>
        <w:t>nto es muy bajo en comparación con</w:t>
      </w:r>
      <w:r>
        <w:rPr>
          <w:rFonts w:ascii="Times New Roman" w:hAnsi="Times New Roman"/>
          <w:sz w:val="24"/>
          <w:szCs w:val="24"/>
        </w:rPr>
        <w:t xml:space="preserve"> las necesidades existentes y, lo que es peor, no redunda en una mayor y mejor</w:t>
      </w:r>
      <w:r w:rsidR="003208B8">
        <w:rPr>
          <w:rFonts w:ascii="Times New Roman" w:hAnsi="Times New Roman"/>
          <w:sz w:val="24"/>
          <w:szCs w:val="24"/>
        </w:rPr>
        <w:t xml:space="preserve"> provisión pública de cuidados.</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El debate continúa conforme la demanda de atención aumenta y las familias no dan abasto ni siquiera con la intensísima dedicación de las mujeres. Existen estudios que proponen la universalización de la atención por parte de los servicios públicos, </w:t>
      </w:r>
      <w:hyperlink r:id="rId9" w:history="1">
        <w:r>
          <w:rPr>
            <w:rStyle w:val="Hipervnculo"/>
            <w:rFonts w:ascii="Times New Roman" w:hAnsi="Times New Roman"/>
            <w:sz w:val="24"/>
            <w:szCs w:val="24"/>
          </w:rPr>
          <w:t>como este del Instituto de Estudios Fiscales y la Universidad Pompeu Fabra</w:t>
        </w:r>
      </w:hyperlink>
      <w:r w:rsidR="00112D75">
        <w:rPr>
          <w:rFonts w:ascii="Times New Roman" w:hAnsi="Times New Roman"/>
          <w:sz w:val="24"/>
          <w:szCs w:val="24"/>
        </w:rPr>
        <w:t>,</w:t>
      </w:r>
      <w:r>
        <w:rPr>
          <w:rFonts w:ascii="Times New Roman" w:hAnsi="Times New Roman"/>
          <w:sz w:val="24"/>
          <w:szCs w:val="24"/>
        </w:rPr>
        <w:t xml:space="preserve"> que cuantifica el coste y elabora un plan de viabilidad </w:t>
      </w:r>
      <w:r w:rsidR="00112D75">
        <w:rPr>
          <w:rFonts w:ascii="Times New Roman" w:hAnsi="Times New Roman"/>
          <w:sz w:val="24"/>
          <w:szCs w:val="24"/>
        </w:rPr>
        <w:t>a</w:t>
      </w:r>
      <w:r>
        <w:rPr>
          <w:rFonts w:ascii="Times New Roman" w:hAnsi="Times New Roman"/>
          <w:sz w:val="24"/>
          <w:szCs w:val="24"/>
        </w:rPr>
        <w:t xml:space="preserve"> 10 años.</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La ya crítica situación de las residencias de mayores se vio evidenciada y agravada en grado sumo por las "políticas COVID"</w:t>
      </w:r>
      <w:r w:rsidR="00112D75">
        <w:rPr>
          <w:rFonts w:ascii="Times New Roman" w:hAnsi="Times New Roman"/>
          <w:sz w:val="24"/>
          <w:szCs w:val="24"/>
        </w:rPr>
        <w:t xml:space="preserve"> y sus consecuencias</w:t>
      </w:r>
      <w:r>
        <w:rPr>
          <w:rFonts w:ascii="Times New Roman" w:hAnsi="Times New Roman"/>
          <w:sz w:val="24"/>
          <w:szCs w:val="24"/>
        </w:rPr>
        <w:t xml:space="preserve">: prohibición de visitas, protocolos de aislamiento, desbandadas y bajas </w:t>
      </w:r>
      <w:r w:rsidR="003208B8">
        <w:rPr>
          <w:rFonts w:ascii="Times New Roman" w:hAnsi="Times New Roman"/>
          <w:sz w:val="24"/>
          <w:szCs w:val="24"/>
        </w:rPr>
        <w:t xml:space="preserve">masivas </w:t>
      </w:r>
      <w:r>
        <w:rPr>
          <w:rFonts w:ascii="Times New Roman" w:hAnsi="Times New Roman"/>
          <w:sz w:val="24"/>
          <w:szCs w:val="24"/>
        </w:rPr>
        <w:t>del personal, etc</w:t>
      </w:r>
      <w:r w:rsidR="00112D75">
        <w:rPr>
          <w:rFonts w:ascii="Times New Roman" w:hAnsi="Times New Roman"/>
          <w:sz w:val="24"/>
          <w:szCs w:val="24"/>
        </w:rPr>
        <w:t>.</w:t>
      </w:r>
      <w:r>
        <w:rPr>
          <w:rFonts w:ascii="Times New Roman" w:hAnsi="Times New Roman"/>
          <w:sz w:val="24"/>
          <w:szCs w:val="24"/>
        </w:rPr>
        <w:t>, que dejaron a las personas residentes abandonada</w:t>
      </w:r>
      <w:r w:rsidR="00112D75">
        <w:rPr>
          <w:rFonts w:ascii="Times New Roman" w:hAnsi="Times New Roman"/>
          <w:sz w:val="24"/>
          <w:szCs w:val="24"/>
        </w:rPr>
        <w:t>s</w:t>
      </w:r>
      <w:r>
        <w:rPr>
          <w:rFonts w:ascii="Times New Roman" w:hAnsi="Times New Roman"/>
          <w:sz w:val="24"/>
          <w:szCs w:val="24"/>
        </w:rPr>
        <w:t xml:space="preserve"> y desprestigiaron aún más estas instituciones.  En lugar de evaluar y atajar esta catastrófica situación, el Gobierno ha acuñado la "</w:t>
      </w:r>
      <w:hyperlink r:id="rId10" w:history="1">
        <w:r w:rsidRPr="00917C25">
          <w:rPr>
            <w:rStyle w:val="Hipervnculo"/>
            <w:rFonts w:ascii="Times New Roman" w:hAnsi="Times New Roman"/>
            <w:sz w:val="24"/>
            <w:szCs w:val="24"/>
          </w:rPr>
          <w:t>estrategia de desinstitucionalización</w:t>
        </w:r>
      </w:hyperlink>
      <w:r>
        <w:rPr>
          <w:rFonts w:ascii="Times New Roman" w:hAnsi="Times New Roman"/>
          <w:sz w:val="24"/>
          <w:szCs w:val="24"/>
        </w:rPr>
        <w:t>", poniendo la permanencia en los hogares de la población dependiente aún más en valor que antes, si cabe. La siguiente tabla ilustra este retroceso.</w:t>
      </w:r>
    </w:p>
    <w:p w:rsidR="00824919" w:rsidRDefault="00824919" w:rsidP="003208B8">
      <w:pPr>
        <w:tabs>
          <w:tab w:val="left" w:pos="720"/>
        </w:tabs>
        <w:spacing w:after="0" w:line="240" w:lineRule="auto"/>
        <w:jc w:val="both"/>
        <w:rPr>
          <w:rFonts w:ascii="Times New Roman" w:hAnsi="Times New Roman"/>
        </w:rPr>
      </w:pPr>
      <w:r>
        <w:rPr>
          <w:rFonts w:ascii="Times New Roman" w:hAnsi="Times New Roman"/>
          <w:b/>
          <w:sz w:val="24"/>
          <w:szCs w:val="24"/>
        </w:rPr>
        <w:t>Evolución comparada de</w:t>
      </w:r>
      <w:r w:rsidR="003208B8">
        <w:rPr>
          <w:rFonts w:ascii="Times New Roman" w:hAnsi="Times New Roman"/>
          <w:b/>
          <w:sz w:val="24"/>
          <w:szCs w:val="24"/>
        </w:rPr>
        <w:t xml:space="preserve"> prestaciones del SAAD: </w:t>
      </w:r>
      <w:r>
        <w:rPr>
          <w:rFonts w:ascii="Times New Roman" w:hAnsi="Times New Roman"/>
          <w:b/>
          <w:sz w:val="24"/>
          <w:szCs w:val="24"/>
        </w:rPr>
        <w:t>residencias y cuidados en el entorno familiar</w:t>
      </w:r>
      <w:r w:rsidR="004568AA">
        <w:rPr>
          <w:rFonts w:ascii="Times New Roman" w:hAnsi="Times New Roman"/>
        </w:rPr>
        <w:t xml:space="preserve"> </w:t>
      </w:r>
    </w:p>
    <w:p w:rsidR="004568AA" w:rsidRDefault="004568AA" w:rsidP="003208B8">
      <w:pPr>
        <w:tabs>
          <w:tab w:val="left" w:pos="720"/>
        </w:tabs>
        <w:spacing w:line="240" w:lineRule="auto"/>
        <w:jc w:val="both"/>
        <w:rPr>
          <w:rFonts w:ascii="Times New Roman" w:hAnsi="Times New Roman"/>
          <w:sz w:val="24"/>
          <w:szCs w:val="24"/>
        </w:rPr>
      </w:pPr>
      <w:r w:rsidRPr="004568AA">
        <w:rPr>
          <w:szCs w:val="24"/>
        </w:rPr>
        <w:pict>
          <v:shape id="_x0000_i1025" type="#_x0000_t75" style="width:384.75pt;height:45.75pt">
            <v:imagedata r:id="rId11" o:title=""/>
          </v:shape>
        </w:pict>
      </w:r>
    </w:p>
    <w:p w:rsidR="00824919" w:rsidRDefault="00824919" w:rsidP="003208B8">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La atención/educación infantil de 0 a 3 años es otro gran debate. En 2007, el Presidente Zapatero </w:t>
      </w:r>
      <w:hyperlink r:id="rId12" w:history="1">
        <w:r>
          <w:rPr>
            <w:rStyle w:val="Hipervnculo"/>
            <w:rFonts w:ascii="Times New Roman" w:hAnsi="Times New Roman"/>
            <w:sz w:val="24"/>
            <w:szCs w:val="24"/>
          </w:rPr>
          <w:t xml:space="preserve">prometió </w:t>
        </w:r>
        <w:r w:rsidR="003208B8">
          <w:rPr>
            <w:rStyle w:val="Hipervnculo"/>
            <w:rFonts w:ascii="Times New Roman" w:hAnsi="Times New Roman"/>
            <w:sz w:val="24"/>
            <w:szCs w:val="24"/>
          </w:rPr>
          <w:t xml:space="preserve">llegar a </w:t>
        </w:r>
        <w:r>
          <w:rPr>
            <w:rStyle w:val="Hipervnculo"/>
            <w:rFonts w:ascii="Times New Roman" w:hAnsi="Times New Roman"/>
            <w:sz w:val="24"/>
            <w:szCs w:val="24"/>
          </w:rPr>
          <w:t>su universalización</w:t>
        </w:r>
      </w:hyperlink>
      <w:r>
        <w:rPr>
          <w:rFonts w:ascii="Times New Roman" w:hAnsi="Times New Roman"/>
          <w:sz w:val="24"/>
          <w:szCs w:val="24"/>
        </w:rPr>
        <w:t xml:space="preserve"> en la legislatura de 2008 a 2012. Desde entonces, los sucesivos gobiernos e </w:t>
      </w:r>
      <w:hyperlink r:id="rId13" w:history="1">
        <w:r>
          <w:rPr>
            <w:rStyle w:val="Hipervnculo"/>
            <w:rFonts w:ascii="Times New Roman" w:hAnsi="Times New Roman"/>
            <w:sz w:val="24"/>
            <w:szCs w:val="24"/>
          </w:rPr>
          <w:t>incluso el Parlamento</w:t>
        </w:r>
      </w:hyperlink>
      <w:r>
        <w:rPr>
          <w:rFonts w:ascii="Times New Roman" w:hAnsi="Times New Roman"/>
          <w:sz w:val="24"/>
          <w:szCs w:val="24"/>
        </w:rPr>
        <w:t xml:space="preserve"> vuelven a enunciar ese objetivo</w:t>
      </w:r>
      <w:r w:rsidR="006205C7">
        <w:rPr>
          <w:rFonts w:ascii="Times New Roman" w:hAnsi="Times New Roman"/>
          <w:sz w:val="24"/>
          <w:szCs w:val="24"/>
        </w:rPr>
        <w:t xml:space="preserve"> periódicamente</w:t>
      </w:r>
      <w:r>
        <w:rPr>
          <w:rFonts w:ascii="Times New Roman" w:hAnsi="Times New Roman"/>
          <w:sz w:val="24"/>
          <w:szCs w:val="24"/>
        </w:rPr>
        <w:t xml:space="preserve">. En la realidad, el número de criaturas escolarizadas en ese primer ciclo no crece (446.519 en 2012; 434.498 en 2022). Y es que la mitad de las familias no utilizan la educación infantil de 0 a 3 años porque no pueden pagarla, según evidencia </w:t>
      </w:r>
      <w:hyperlink r:id="rId14" w:history="1">
        <w:r>
          <w:rPr>
            <w:rStyle w:val="Hipervnculo"/>
            <w:rFonts w:ascii="Times New Roman" w:hAnsi="Times New Roman"/>
            <w:sz w:val="24"/>
            <w:szCs w:val="24"/>
          </w:rPr>
          <w:t>un estudio de viabilidad</w:t>
        </w:r>
      </w:hyperlink>
      <w:r>
        <w:rPr>
          <w:rFonts w:ascii="Times New Roman" w:hAnsi="Times New Roman"/>
          <w:sz w:val="24"/>
          <w:szCs w:val="24"/>
        </w:rPr>
        <w:t xml:space="preserve"> de dicha universalización en 5 años.</w:t>
      </w:r>
    </w:p>
    <w:p w:rsidR="00824919" w:rsidRDefault="003208B8">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La Ley de Igualdad de 2007 </w:t>
      </w:r>
      <w:r w:rsidR="006205C7">
        <w:rPr>
          <w:rFonts w:ascii="Times New Roman" w:hAnsi="Times New Roman"/>
          <w:sz w:val="24"/>
          <w:szCs w:val="24"/>
        </w:rPr>
        <w:t>amplí</w:t>
      </w:r>
      <w:r w:rsidR="00824919">
        <w:rPr>
          <w:rFonts w:ascii="Times New Roman" w:hAnsi="Times New Roman"/>
          <w:sz w:val="24"/>
          <w:szCs w:val="24"/>
        </w:rPr>
        <w:t>a las previsiones para que las mujeres abandonen el empleo por razones de cuidado</w:t>
      </w:r>
      <w:r w:rsidR="0058121A">
        <w:rPr>
          <w:rFonts w:ascii="Times New Roman" w:hAnsi="Times New Roman"/>
          <w:sz w:val="24"/>
          <w:szCs w:val="24"/>
        </w:rPr>
        <w:t>,</w:t>
      </w:r>
      <w:r w:rsidR="00824919">
        <w:rPr>
          <w:rFonts w:ascii="Times New Roman" w:hAnsi="Times New Roman"/>
          <w:sz w:val="24"/>
          <w:szCs w:val="24"/>
        </w:rPr>
        <w:t xml:space="preserve"> parcial o totalmente</w:t>
      </w:r>
      <w:r w:rsidR="0058121A">
        <w:rPr>
          <w:rFonts w:ascii="Times New Roman" w:hAnsi="Times New Roman"/>
          <w:sz w:val="24"/>
          <w:szCs w:val="24"/>
        </w:rPr>
        <w:t>,</w:t>
      </w:r>
      <w:r w:rsidR="00824919">
        <w:rPr>
          <w:rFonts w:ascii="Times New Roman" w:hAnsi="Times New Roman"/>
          <w:sz w:val="24"/>
          <w:szCs w:val="24"/>
        </w:rPr>
        <w:t xml:space="preserve"> con pérdida de salario (medidas de conciliación). La Ley de Igualdad no menciona los servicios públicos ni las jornadas de trabajo. Eso sí, establece por primera vez un permiso laboral de paternidad pagado por la Seguridad Social de dos semanas (indudablemente un avance frente a los 2 días a cargo de la empresa que había hasta entonces, pero </w:t>
      </w:r>
      <w:r w:rsidR="005F7CCE">
        <w:rPr>
          <w:rFonts w:ascii="Times New Roman" w:hAnsi="Times New Roman"/>
          <w:sz w:val="24"/>
          <w:szCs w:val="24"/>
        </w:rPr>
        <w:t>ocho veces menor que el permiso de maternidad de 16 semanas</w:t>
      </w:r>
      <w:r w:rsidR="00824919">
        <w:rPr>
          <w:rFonts w:ascii="Times New Roman" w:hAnsi="Times New Roman"/>
          <w:sz w:val="24"/>
          <w:szCs w:val="24"/>
        </w:rPr>
        <w:t xml:space="preserve">. </w:t>
      </w:r>
      <w:r w:rsidR="00917C25">
        <w:rPr>
          <w:rFonts w:ascii="Times New Roman" w:hAnsi="Times New Roman"/>
          <w:sz w:val="24"/>
          <w:szCs w:val="24"/>
        </w:rPr>
        <w:t xml:space="preserve">Desde 2021 </w:t>
      </w:r>
      <w:r w:rsidR="00824919">
        <w:rPr>
          <w:rFonts w:ascii="Times New Roman" w:hAnsi="Times New Roman"/>
          <w:sz w:val="24"/>
          <w:szCs w:val="24"/>
        </w:rPr>
        <w:t xml:space="preserve">los permisos </w:t>
      </w:r>
      <w:r w:rsidR="00917C25">
        <w:rPr>
          <w:rFonts w:ascii="Times New Roman" w:hAnsi="Times New Roman"/>
          <w:sz w:val="24"/>
          <w:szCs w:val="24"/>
        </w:rPr>
        <w:t>ya son de igual duración e intransferibles</w:t>
      </w:r>
      <w:r w:rsidR="005F7CCE">
        <w:rPr>
          <w:rFonts w:ascii="Times New Roman" w:hAnsi="Times New Roman"/>
          <w:sz w:val="24"/>
          <w:szCs w:val="24"/>
        </w:rPr>
        <w:t>, aunque siguen sin ser igualitarios</w:t>
      </w:r>
      <w:r w:rsidR="00824919">
        <w:rPr>
          <w:rFonts w:ascii="Times New Roman" w:hAnsi="Times New Roman"/>
          <w:sz w:val="24"/>
          <w:szCs w:val="24"/>
        </w:rPr>
        <w:t xml:space="preserve"> (ver apartado siguiente).</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Los incentivos fiscales a la permanencia de las mujeres casadas en el hogar </w:t>
      </w:r>
      <w:r w:rsidR="00917C25">
        <w:rPr>
          <w:rFonts w:ascii="Times New Roman" w:hAnsi="Times New Roman"/>
          <w:sz w:val="24"/>
          <w:szCs w:val="24"/>
        </w:rPr>
        <w:t xml:space="preserve">resultan </w:t>
      </w:r>
      <w:r>
        <w:rPr>
          <w:rFonts w:ascii="Times New Roman" w:hAnsi="Times New Roman"/>
          <w:sz w:val="24"/>
          <w:szCs w:val="24"/>
        </w:rPr>
        <w:t>más opacos para el público, pero también han sido objeto de debate</w:t>
      </w:r>
      <w:r w:rsidR="00D37C88">
        <w:rPr>
          <w:rFonts w:ascii="Times New Roman" w:hAnsi="Times New Roman"/>
          <w:sz w:val="24"/>
          <w:szCs w:val="24"/>
        </w:rPr>
        <w:t xml:space="preserve">, mientras </w:t>
      </w:r>
      <w:r w:rsidR="0058121A">
        <w:rPr>
          <w:rFonts w:ascii="Times New Roman" w:hAnsi="Times New Roman"/>
          <w:sz w:val="24"/>
          <w:szCs w:val="24"/>
        </w:rPr>
        <w:t xml:space="preserve">la regulación </w:t>
      </w:r>
      <w:r w:rsidR="00D37C88">
        <w:rPr>
          <w:rFonts w:ascii="Times New Roman" w:hAnsi="Times New Roman"/>
          <w:sz w:val="24"/>
          <w:szCs w:val="24"/>
        </w:rPr>
        <w:t xml:space="preserve">de </w:t>
      </w:r>
      <w:r w:rsidR="0058121A">
        <w:rPr>
          <w:rFonts w:ascii="Times New Roman" w:hAnsi="Times New Roman"/>
          <w:sz w:val="24"/>
          <w:szCs w:val="24"/>
        </w:rPr>
        <w:t xml:space="preserve">los </w:t>
      </w:r>
      <w:r w:rsidR="00D37C88">
        <w:rPr>
          <w:rFonts w:ascii="Times New Roman" w:hAnsi="Times New Roman"/>
          <w:sz w:val="24"/>
          <w:szCs w:val="24"/>
        </w:rPr>
        <w:t xml:space="preserve">impuestos </w:t>
      </w:r>
      <w:r w:rsidR="0058121A">
        <w:rPr>
          <w:rFonts w:ascii="Times New Roman" w:hAnsi="Times New Roman"/>
          <w:sz w:val="24"/>
          <w:szCs w:val="24"/>
        </w:rPr>
        <w:t>personales</w:t>
      </w:r>
      <w:r w:rsidR="00D37C88">
        <w:rPr>
          <w:rFonts w:ascii="Times New Roman" w:hAnsi="Times New Roman"/>
          <w:sz w:val="24"/>
          <w:szCs w:val="24"/>
        </w:rPr>
        <w:t xml:space="preserve"> sigue acumulando incentivos a que las mujeres cuiden en el hogar</w:t>
      </w:r>
      <w:r>
        <w:rPr>
          <w:rFonts w:ascii="Times New Roman" w:hAnsi="Times New Roman"/>
          <w:sz w:val="24"/>
          <w:szCs w:val="24"/>
        </w:rPr>
        <w:t xml:space="preserve">. En la </w:t>
      </w:r>
      <w:hyperlink r:id="rId15" w:history="1">
        <w:r>
          <w:rPr>
            <w:rStyle w:val="Hipervnculo"/>
            <w:rFonts w:ascii="Times New Roman" w:hAnsi="Times New Roman"/>
            <w:sz w:val="24"/>
            <w:szCs w:val="24"/>
          </w:rPr>
          <w:t>Ley de reforma fiscal de 2006</w:t>
        </w:r>
      </w:hyperlink>
      <w:r>
        <w:rPr>
          <w:rFonts w:ascii="Times New Roman" w:hAnsi="Times New Roman"/>
          <w:sz w:val="24"/>
          <w:szCs w:val="24"/>
        </w:rPr>
        <w:t xml:space="preserve"> se reconoce: " </w:t>
      </w:r>
      <w:r>
        <w:rPr>
          <w:rFonts w:ascii="Times New Roman" w:hAnsi="Times New Roman"/>
          <w:i/>
          <w:sz w:val="24"/>
          <w:szCs w:val="24"/>
        </w:rPr>
        <w:t>En esta consideración de las circunstancias personales y familiares cabe efectuar una mención a la opción por la tributación conjunta. La política de no discriminación por razón de género y razones de simplificación de la gestión del impuesto podrían justificar su revisión. No obstante, se mantiene su tratamiento actual…</w:t>
      </w:r>
      <w:r>
        <w:rPr>
          <w:rFonts w:ascii="Times New Roman" w:hAnsi="Times New Roman"/>
          <w:sz w:val="24"/>
          <w:szCs w:val="24"/>
        </w:rPr>
        <w:t>".</w:t>
      </w:r>
    </w:p>
    <w:p w:rsidR="00D37C88" w:rsidRDefault="00824919" w:rsidP="00D37C88">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En definitiva, aunque durante las dos primeras décadas de este siglo se concedió importancia a la igualdad de género, la actuación </w:t>
      </w:r>
      <w:r w:rsidR="005F7CCE">
        <w:rPr>
          <w:rFonts w:ascii="Times New Roman" w:hAnsi="Times New Roman"/>
          <w:sz w:val="24"/>
          <w:szCs w:val="24"/>
        </w:rPr>
        <w:t xml:space="preserve">de los gobiernos </w:t>
      </w:r>
      <w:r>
        <w:rPr>
          <w:rFonts w:ascii="Times New Roman" w:hAnsi="Times New Roman"/>
          <w:sz w:val="24"/>
          <w:szCs w:val="24"/>
        </w:rPr>
        <w:t xml:space="preserve">se quedó a las puertas de las reformas estructurales que hubieran podido reducir el grado de familiarismo en España. </w:t>
      </w:r>
    </w:p>
    <w:p w:rsidR="00824919" w:rsidRDefault="00824919" w:rsidP="00D37C88">
      <w:pPr>
        <w:tabs>
          <w:tab w:val="left" w:pos="720"/>
        </w:tabs>
        <w:spacing w:after="0" w:line="240" w:lineRule="auto"/>
        <w:jc w:val="both"/>
        <w:rPr>
          <w:rFonts w:ascii="Times New Roman" w:hAnsi="Times New Roman"/>
          <w:sz w:val="24"/>
          <w:szCs w:val="24"/>
        </w:rPr>
      </w:pPr>
      <w:r>
        <w:rPr>
          <w:rFonts w:ascii="Times New Roman" w:hAnsi="Times New Roman"/>
          <w:b/>
          <w:sz w:val="24"/>
          <w:szCs w:val="24"/>
        </w:rPr>
        <w:cr/>
      </w:r>
      <w:r>
        <w:rPr>
          <w:rFonts w:ascii="Times New Roman" w:hAnsi="Times New Roman"/>
          <w:sz w:val="24"/>
          <w:szCs w:val="24"/>
        </w:rPr>
        <w:t>Desde 2020 asistimos a una ola de contra</w:t>
      </w:r>
      <w:r w:rsidR="00D37C88">
        <w:rPr>
          <w:rFonts w:ascii="Times New Roman" w:hAnsi="Times New Roman"/>
          <w:sz w:val="24"/>
          <w:szCs w:val="24"/>
        </w:rPr>
        <w:t>-</w:t>
      </w:r>
      <w:r>
        <w:rPr>
          <w:rFonts w:ascii="Times New Roman" w:hAnsi="Times New Roman"/>
          <w:sz w:val="24"/>
          <w:szCs w:val="24"/>
        </w:rPr>
        <w:t xml:space="preserve">reacción social, y particularmente patriarcal. El movimiento feminista ha perdido iniciativa y los debates sobre el cambio estructural hacia la igualdad de género han perdido fuerza. </w:t>
      </w:r>
    </w:p>
    <w:p w:rsidR="00D37C88" w:rsidRDefault="00D37C88" w:rsidP="00D37C88">
      <w:pPr>
        <w:tabs>
          <w:tab w:val="left" w:pos="720"/>
        </w:tabs>
        <w:spacing w:after="0" w:line="240" w:lineRule="auto"/>
        <w:jc w:val="both"/>
        <w:rPr>
          <w:rFonts w:ascii="Times New Roman" w:hAnsi="Times New Roman"/>
          <w:sz w:val="24"/>
          <w:szCs w:val="24"/>
        </w:rPr>
      </w:pPr>
    </w:p>
    <w:p w:rsidR="0028670B" w:rsidRDefault="0058121A">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En </w:t>
      </w:r>
      <w:r w:rsidR="00824919">
        <w:rPr>
          <w:rFonts w:ascii="Times New Roman" w:hAnsi="Times New Roman"/>
          <w:sz w:val="24"/>
          <w:szCs w:val="24"/>
        </w:rPr>
        <w:t>resumen</w:t>
      </w:r>
      <w:r>
        <w:rPr>
          <w:rFonts w:ascii="Times New Roman" w:hAnsi="Times New Roman"/>
          <w:sz w:val="24"/>
          <w:szCs w:val="24"/>
        </w:rPr>
        <w:t xml:space="preserve">, </w:t>
      </w:r>
      <w:r w:rsidR="00824919">
        <w:rPr>
          <w:rFonts w:ascii="Times New Roman" w:hAnsi="Times New Roman"/>
          <w:sz w:val="24"/>
          <w:szCs w:val="24"/>
        </w:rPr>
        <w:t xml:space="preserve">la orientación del presupuesto público sigue esencialmente intacta. </w:t>
      </w:r>
      <w:r>
        <w:rPr>
          <w:rFonts w:ascii="Times New Roman" w:hAnsi="Times New Roman"/>
          <w:sz w:val="24"/>
          <w:szCs w:val="24"/>
        </w:rPr>
        <w:t>En los hogares, l</w:t>
      </w:r>
      <w:r w:rsidR="00824919">
        <w:rPr>
          <w:rFonts w:ascii="Times New Roman" w:hAnsi="Times New Roman"/>
          <w:sz w:val="24"/>
          <w:szCs w:val="24"/>
        </w:rPr>
        <w:t>as mujeres siguen siendo las cuidadoras principales y los hombres siguen siendo simples "ayudantes" en el mejor de los casos. En el empleo, las mujeres siguen ocupando los puestos más precarios</w:t>
      </w:r>
      <w:r w:rsidR="0028670B">
        <w:rPr>
          <w:rFonts w:ascii="Times New Roman" w:hAnsi="Times New Roman"/>
          <w:sz w:val="24"/>
          <w:szCs w:val="24"/>
        </w:rPr>
        <w:t xml:space="preserve">. Cuando existen necesidades de </w:t>
      </w:r>
      <w:r w:rsidR="0028670B">
        <w:rPr>
          <w:rFonts w:ascii="Times New Roman" w:hAnsi="Times New Roman"/>
          <w:sz w:val="24"/>
          <w:szCs w:val="24"/>
        </w:rPr>
        <w:lastRenderedPageBreak/>
        <w:t>cuidado en la familia, se ven sometidas a dobles y triples jornadas. Muchas pierden su medio de vida independiente y/o terminan en la pobreza. No hay prestaciones ni desgravaciones fiscales para ex - amas de casa ni para ex - cuidadoras.</w:t>
      </w:r>
    </w:p>
    <w:p w:rsidR="00824919" w:rsidRDefault="00D37C88">
      <w:pPr>
        <w:tabs>
          <w:tab w:val="left" w:pos="720"/>
        </w:tabs>
        <w:spacing w:line="240" w:lineRule="auto"/>
        <w:jc w:val="both"/>
        <w:rPr>
          <w:rFonts w:ascii="Times New Roman" w:hAnsi="Times New Roman"/>
          <w:b/>
          <w:sz w:val="24"/>
          <w:szCs w:val="24"/>
        </w:rPr>
      </w:pPr>
      <w:r>
        <w:rPr>
          <w:rFonts w:ascii="Times New Roman" w:hAnsi="Times New Roman"/>
          <w:b/>
          <w:sz w:val="24"/>
          <w:szCs w:val="24"/>
        </w:rPr>
        <w:t xml:space="preserve">3.- </w:t>
      </w:r>
      <w:r w:rsidR="00824919">
        <w:rPr>
          <w:rFonts w:ascii="Times New Roman" w:hAnsi="Times New Roman"/>
          <w:b/>
          <w:sz w:val="24"/>
          <w:szCs w:val="24"/>
        </w:rPr>
        <w:t>Ejemplos de buenas prácticas</w:t>
      </w:r>
    </w:p>
    <w:p w:rsidR="00824919" w:rsidRDefault="00824919">
      <w:pPr>
        <w:tabs>
          <w:tab w:val="left" w:pos="720"/>
        </w:tabs>
        <w:spacing w:line="240" w:lineRule="auto"/>
        <w:jc w:val="both"/>
        <w:rPr>
          <w:rFonts w:ascii="Times New Roman" w:hAnsi="Times New Roman"/>
          <w:b/>
          <w:sz w:val="24"/>
          <w:szCs w:val="24"/>
        </w:rPr>
      </w:pPr>
      <w:r>
        <w:rPr>
          <w:rFonts w:ascii="Times New Roman" w:hAnsi="Times New Roman"/>
          <w:b/>
          <w:sz w:val="24"/>
          <w:szCs w:val="24"/>
        </w:rPr>
        <w:t xml:space="preserve">3.1.- Tres experiencias </w:t>
      </w:r>
      <w:r w:rsidR="005F7CCE">
        <w:rPr>
          <w:rFonts w:ascii="Times New Roman" w:hAnsi="Times New Roman"/>
          <w:b/>
          <w:sz w:val="24"/>
          <w:szCs w:val="24"/>
        </w:rPr>
        <w:t>de GB relevantes en España</w:t>
      </w:r>
    </w:p>
    <w:p w:rsidR="00824919" w:rsidRDefault="00824919">
      <w:pPr>
        <w:tabs>
          <w:tab w:val="left" w:pos="720"/>
        </w:tabs>
        <w:spacing w:line="240" w:lineRule="auto"/>
        <w:jc w:val="both"/>
        <w:rPr>
          <w:rFonts w:ascii="Times New Roman" w:hAnsi="Times New Roman"/>
          <w:b/>
          <w:sz w:val="24"/>
          <w:szCs w:val="24"/>
        </w:rPr>
      </w:pPr>
      <w:r>
        <w:rPr>
          <w:rFonts w:ascii="Times New Roman" w:hAnsi="Times New Roman"/>
          <w:b/>
          <w:sz w:val="24"/>
          <w:szCs w:val="24"/>
        </w:rPr>
        <w:t>3.1.1.-  País Vasco</w:t>
      </w:r>
    </w:p>
    <w:p w:rsidR="00824919" w:rsidRDefault="00824919">
      <w:pPr>
        <w:tabs>
          <w:tab w:val="left" w:pos="720"/>
        </w:tabs>
        <w:spacing w:line="240" w:lineRule="auto"/>
        <w:jc w:val="both"/>
        <w:rPr>
          <w:rFonts w:ascii="Times New Roman" w:hAnsi="Times New Roman"/>
          <w:b/>
          <w:sz w:val="24"/>
          <w:szCs w:val="24"/>
        </w:rPr>
      </w:pPr>
      <w:r>
        <w:rPr>
          <w:rFonts w:ascii="Times New Roman" w:hAnsi="Times New Roman"/>
          <w:sz w:val="24"/>
          <w:szCs w:val="24"/>
        </w:rPr>
        <w:t>Se inició en 1999 por iniciativa del Instituto Vasco de las Mujeres (Emakunde). Crearon una librería virtual; organizaron seminarios con la participación de expertas como Ronda Sharp</w:t>
      </w:r>
      <w:r w:rsidR="00ED5EDE">
        <w:rPr>
          <w:rFonts w:ascii="Times New Roman" w:hAnsi="Times New Roman"/>
          <w:sz w:val="24"/>
          <w:szCs w:val="24"/>
        </w:rPr>
        <w:t>, Diane Elson o Rona Fitzgerald</w:t>
      </w:r>
      <w:r>
        <w:rPr>
          <w:rFonts w:ascii="Times New Roman" w:hAnsi="Times New Roman"/>
          <w:sz w:val="24"/>
          <w:szCs w:val="24"/>
        </w:rPr>
        <w:t>. En 2002 iniciaron un experienci</w:t>
      </w:r>
      <w:r w:rsidR="00ED5EDE">
        <w:rPr>
          <w:rFonts w:ascii="Times New Roman" w:hAnsi="Times New Roman"/>
          <w:sz w:val="24"/>
          <w:szCs w:val="24"/>
        </w:rPr>
        <w:t>a</w:t>
      </w:r>
      <w:r>
        <w:rPr>
          <w:rFonts w:ascii="Times New Roman" w:hAnsi="Times New Roman"/>
          <w:sz w:val="24"/>
          <w:szCs w:val="24"/>
        </w:rPr>
        <w:t xml:space="preserve"> piloto con participación de </w:t>
      </w:r>
      <w:r w:rsidR="00ED5EDE">
        <w:rPr>
          <w:rFonts w:ascii="Times New Roman" w:hAnsi="Times New Roman"/>
          <w:sz w:val="24"/>
          <w:szCs w:val="24"/>
        </w:rPr>
        <w:t>6 departamentos gubernamentales</w:t>
      </w:r>
      <w:r>
        <w:rPr>
          <w:rFonts w:ascii="Times New Roman" w:hAnsi="Times New Roman"/>
          <w:sz w:val="24"/>
          <w:szCs w:val="24"/>
        </w:rPr>
        <w:t>. Se comprobó la existencia de desigualdades y la insuficiencia de las estadísticas. Se presentaron los resultados en un seminario y se elaboró una guía. Y ese fue el fin de la experiencia.</w:t>
      </w:r>
    </w:p>
    <w:p w:rsidR="00ED5EDE"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Sin embargo, </w:t>
      </w:r>
      <w:r w:rsidR="0028670B">
        <w:rPr>
          <w:rFonts w:ascii="Times New Roman" w:hAnsi="Times New Roman"/>
          <w:sz w:val="24"/>
          <w:szCs w:val="24"/>
        </w:rPr>
        <w:t xml:space="preserve">con </w:t>
      </w:r>
      <w:r>
        <w:rPr>
          <w:rFonts w:ascii="Times New Roman" w:hAnsi="Times New Roman"/>
          <w:sz w:val="24"/>
          <w:szCs w:val="24"/>
        </w:rPr>
        <w:t>esta</w:t>
      </w:r>
      <w:r w:rsidR="0028670B">
        <w:rPr>
          <w:rFonts w:ascii="Times New Roman" w:hAnsi="Times New Roman"/>
          <w:sz w:val="24"/>
          <w:szCs w:val="24"/>
        </w:rPr>
        <w:t xml:space="preserve"> experiencia se activó el </w:t>
      </w:r>
      <w:r>
        <w:rPr>
          <w:rFonts w:ascii="Times New Roman" w:hAnsi="Times New Roman"/>
          <w:sz w:val="24"/>
          <w:szCs w:val="24"/>
        </w:rPr>
        <w:t>debate sobre GB en España</w:t>
      </w:r>
      <w:r w:rsidR="0028670B">
        <w:rPr>
          <w:rFonts w:ascii="Times New Roman" w:hAnsi="Times New Roman"/>
          <w:sz w:val="24"/>
          <w:szCs w:val="24"/>
        </w:rPr>
        <w:t>; se conocieron otras experienc</w:t>
      </w:r>
      <w:r w:rsidR="00BE5C94">
        <w:rPr>
          <w:rFonts w:ascii="Times New Roman" w:hAnsi="Times New Roman"/>
          <w:sz w:val="24"/>
          <w:szCs w:val="24"/>
        </w:rPr>
        <w:t xml:space="preserve">ias y, sobre todo, se aprendió de </w:t>
      </w:r>
      <w:r>
        <w:rPr>
          <w:rFonts w:ascii="Times New Roman" w:hAnsi="Times New Roman"/>
          <w:sz w:val="24"/>
          <w:szCs w:val="24"/>
        </w:rPr>
        <w:t xml:space="preserve">los factores que impidieron su consolidación: </w:t>
      </w:r>
      <w:r w:rsidR="00ED5EDE">
        <w:rPr>
          <w:rFonts w:ascii="Times New Roman" w:hAnsi="Times New Roman"/>
          <w:sz w:val="24"/>
          <w:szCs w:val="24"/>
        </w:rPr>
        <w:t>participaci</w:t>
      </w:r>
      <w:r w:rsidR="005F7CCE">
        <w:rPr>
          <w:rFonts w:ascii="Times New Roman" w:hAnsi="Times New Roman"/>
          <w:sz w:val="24"/>
          <w:szCs w:val="24"/>
        </w:rPr>
        <w:t>ón voluntaria;</w:t>
      </w:r>
      <w:r w:rsidR="00ED5EDE">
        <w:rPr>
          <w:rFonts w:ascii="Times New Roman" w:hAnsi="Times New Roman"/>
          <w:sz w:val="24"/>
          <w:szCs w:val="24"/>
        </w:rPr>
        <w:t xml:space="preserve"> </w:t>
      </w:r>
      <w:r w:rsidR="005F7CCE">
        <w:rPr>
          <w:rFonts w:ascii="Times New Roman" w:hAnsi="Times New Roman"/>
          <w:sz w:val="24"/>
          <w:szCs w:val="24"/>
        </w:rPr>
        <w:t xml:space="preserve">iniciativa de </w:t>
      </w:r>
      <w:r>
        <w:rPr>
          <w:rFonts w:ascii="Times New Roman" w:hAnsi="Times New Roman"/>
          <w:sz w:val="24"/>
          <w:szCs w:val="24"/>
        </w:rPr>
        <w:t xml:space="preserve">la autoridad de género </w:t>
      </w:r>
      <w:r w:rsidR="00ED5EDE">
        <w:rPr>
          <w:rFonts w:ascii="Times New Roman" w:hAnsi="Times New Roman"/>
          <w:sz w:val="24"/>
          <w:szCs w:val="24"/>
        </w:rPr>
        <w:t xml:space="preserve">exterior al Departamento de Hacienda y </w:t>
      </w:r>
      <w:r w:rsidR="005F7CCE">
        <w:rPr>
          <w:rFonts w:ascii="Times New Roman" w:hAnsi="Times New Roman"/>
          <w:sz w:val="24"/>
          <w:szCs w:val="24"/>
        </w:rPr>
        <w:t>sin respaldo de</w:t>
      </w:r>
      <w:r>
        <w:rPr>
          <w:rFonts w:ascii="Times New Roman" w:hAnsi="Times New Roman"/>
          <w:sz w:val="24"/>
          <w:szCs w:val="24"/>
        </w:rPr>
        <w:t xml:space="preserve">l Gobierno al más alto nivel. </w:t>
      </w:r>
    </w:p>
    <w:p w:rsidR="00824919" w:rsidRDefault="00824919">
      <w:pPr>
        <w:tabs>
          <w:tab w:val="left" w:pos="720"/>
        </w:tabs>
        <w:spacing w:line="240" w:lineRule="auto"/>
        <w:jc w:val="both"/>
        <w:rPr>
          <w:rFonts w:ascii="Times New Roman" w:hAnsi="Times New Roman"/>
          <w:b/>
          <w:sz w:val="24"/>
          <w:szCs w:val="24"/>
        </w:rPr>
      </w:pPr>
      <w:r>
        <w:rPr>
          <w:rFonts w:ascii="Times New Roman" w:hAnsi="Times New Roman"/>
          <w:b/>
          <w:sz w:val="24"/>
          <w:szCs w:val="24"/>
        </w:rPr>
        <w:t>3-1.2.- Andalucía</w:t>
      </w:r>
    </w:p>
    <w:p w:rsidR="00BE5C94"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El gobierno regional (del PSOE desde 19</w:t>
      </w:r>
      <w:r w:rsidR="00BE5C94">
        <w:rPr>
          <w:rFonts w:ascii="Times New Roman" w:hAnsi="Times New Roman"/>
          <w:sz w:val="24"/>
          <w:szCs w:val="24"/>
        </w:rPr>
        <w:t>77 hasta 2019</w:t>
      </w:r>
      <w:r>
        <w:rPr>
          <w:rFonts w:ascii="Times New Roman" w:hAnsi="Times New Roman"/>
          <w:sz w:val="24"/>
          <w:szCs w:val="24"/>
        </w:rPr>
        <w:t xml:space="preserve">) fue el primer gobierno en España que llegó a tener un 50% de mujeres; el que promovió por primera vez la regla de paridad en las listas electorales llamada "cremallera" como condición para ser aceptadas. </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El proyecto de GB se inició </w:t>
      </w:r>
      <w:r w:rsidR="00BE5C94">
        <w:rPr>
          <w:rFonts w:ascii="Times New Roman" w:hAnsi="Times New Roman"/>
          <w:sz w:val="24"/>
          <w:szCs w:val="24"/>
        </w:rPr>
        <w:t xml:space="preserve">como </w:t>
      </w:r>
      <w:r>
        <w:rPr>
          <w:rFonts w:ascii="Times New Roman" w:hAnsi="Times New Roman"/>
          <w:sz w:val="24"/>
          <w:szCs w:val="24"/>
        </w:rPr>
        <w:t xml:space="preserve">iniciativa del Consejero </w:t>
      </w:r>
      <w:r w:rsidR="00BE5C94">
        <w:rPr>
          <w:rFonts w:ascii="Times New Roman" w:hAnsi="Times New Roman"/>
          <w:sz w:val="24"/>
          <w:szCs w:val="24"/>
        </w:rPr>
        <w:t xml:space="preserve">de Hacienda. </w:t>
      </w:r>
      <w:r>
        <w:rPr>
          <w:rFonts w:ascii="Times New Roman" w:hAnsi="Times New Roman"/>
          <w:sz w:val="24"/>
          <w:szCs w:val="24"/>
        </w:rPr>
        <w:t xml:space="preserve">Entre 2003 y 2005, el Parlamento aprobó por Ley: 1) la obligatroriedad de los informes de impacto de género de todas las leyes, y en particular de la Ley de Presupuestos anual; 2) la creación de la Comisión de Evaluación de Impacto de Género, dependiente de la Consejería de Hacienda, presidida por la Viceconsejera y con el Director General de Presupuestos como Secretario, compuesta por un hombre y una mujer funcionarios de alto nivel de cada Consejería y </w:t>
      </w:r>
      <w:r w:rsidR="00ED5EDE">
        <w:rPr>
          <w:rFonts w:ascii="Times New Roman" w:hAnsi="Times New Roman"/>
          <w:sz w:val="24"/>
          <w:szCs w:val="24"/>
        </w:rPr>
        <w:t xml:space="preserve">por </w:t>
      </w:r>
      <w:r>
        <w:rPr>
          <w:rFonts w:ascii="Times New Roman" w:hAnsi="Times New Roman"/>
          <w:sz w:val="24"/>
          <w:szCs w:val="24"/>
        </w:rPr>
        <w:t xml:space="preserve">dos representantes del Instituto de la Mujer. Desde 2007, el Informe de Impacto de Género es uno de los libros oficiales del Presupuesto. </w:t>
      </w:r>
      <w:r w:rsidR="00ED5EDE">
        <w:rPr>
          <w:rFonts w:ascii="Times New Roman" w:hAnsi="Times New Roman"/>
          <w:sz w:val="24"/>
          <w:szCs w:val="24"/>
        </w:rPr>
        <w:t>S</w:t>
      </w:r>
      <w:r>
        <w:rPr>
          <w:rFonts w:ascii="Times New Roman" w:hAnsi="Times New Roman"/>
          <w:sz w:val="24"/>
          <w:szCs w:val="24"/>
        </w:rPr>
        <w:t>e establecieron controles y auditorías con el fin de asegurar la revisión y la redefinición de los programas.</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Sin embargo, tampoco esta experiencia llegó a cuestionarse las grandes partidas presupuestarias. Con el tiempo, estos procesos fueron </w:t>
      </w:r>
      <w:r w:rsidR="00ED5EDE">
        <w:rPr>
          <w:rFonts w:ascii="Times New Roman" w:hAnsi="Times New Roman"/>
          <w:sz w:val="24"/>
          <w:szCs w:val="24"/>
        </w:rPr>
        <w:t xml:space="preserve">perdiendo </w:t>
      </w:r>
      <w:r>
        <w:rPr>
          <w:rFonts w:ascii="Times New Roman" w:hAnsi="Times New Roman"/>
          <w:sz w:val="24"/>
          <w:szCs w:val="24"/>
        </w:rPr>
        <w:t>interés por parte del Gobierno y de la ciudadanía</w:t>
      </w:r>
      <w:r w:rsidR="00ED5EDE">
        <w:rPr>
          <w:rFonts w:ascii="Times New Roman" w:hAnsi="Times New Roman"/>
          <w:sz w:val="24"/>
          <w:szCs w:val="24"/>
        </w:rPr>
        <w:t xml:space="preserve">. </w:t>
      </w:r>
      <w:r w:rsidR="005F7CCE">
        <w:rPr>
          <w:rFonts w:ascii="Times New Roman" w:hAnsi="Times New Roman"/>
          <w:sz w:val="24"/>
          <w:szCs w:val="24"/>
        </w:rPr>
        <w:t>En 202</w:t>
      </w:r>
      <w:r>
        <w:rPr>
          <w:rFonts w:ascii="Times New Roman" w:hAnsi="Times New Roman"/>
          <w:sz w:val="24"/>
          <w:szCs w:val="24"/>
        </w:rPr>
        <w:t>4, el Gobierno (</w:t>
      </w:r>
      <w:r w:rsidR="00BE5C94">
        <w:rPr>
          <w:rFonts w:ascii="Times New Roman" w:hAnsi="Times New Roman"/>
          <w:sz w:val="24"/>
          <w:szCs w:val="24"/>
        </w:rPr>
        <w:t xml:space="preserve">ya de </w:t>
      </w:r>
      <w:r>
        <w:rPr>
          <w:rFonts w:ascii="Times New Roman" w:hAnsi="Times New Roman"/>
          <w:sz w:val="24"/>
          <w:szCs w:val="24"/>
        </w:rPr>
        <w:t>PP y Vox</w:t>
      </w:r>
      <w:r w:rsidR="00BE5C94">
        <w:rPr>
          <w:rFonts w:ascii="Times New Roman" w:hAnsi="Times New Roman"/>
          <w:sz w:val="24"/>
          <w:szCs w:val="24"/>
        </w:rPr>
        <w:t>)</w:t>
      </w:r>
      <w:r>
        <w:rPr>
          <w:rFonts w:ascii="Times New Roman" w:hAnsi="Times New Roman"/>
          <w:sz w:val="24"/>
          <w:szCs w:val="24"/>
        </w:rPr>
        <w:t xml:space="preserve"> d</w:t>
      </w:r>
      <w:r w:rsidR="00BE5C94">
        <w:rPr>
          <w:rFonts w:ascii="Times New Roman" w:hAnsi="Times New Roman"/>
          <w:sz w:val="24"/>
          <w:szCs w:val="24"/>
        </w:rPr>
        <w:t>eclara</w:t>
      </w:r>
      <w:r>
        <w:rPr>
          <w:rFonts w:ascii="Times New Roman" w:hAnsi="Times New Roman"/>
          <w:sz w:val="24"/>
          <w:szCs w:val="24"/>
        </w:rPr>
        <w:t xml:space="preserve"> agotado el proceso</w:t>
      </w:r>
      <w:r w:rsidR="00BE5C94">
        <w:rPr>
          <w:rFonts w:ascii="Times New Roman" w:hAnsi="Times New Roman"/>
          <w:sz w:val="24"/>
          <w:szCs w:val="24"/>
        </w:rPr>
        <w:t>; s</w:t>
      </w:r>
      <w:r>
        <w:rPr>
          <w:rFonts w:ascii="Times New Roman" w:hAnsi="Times New Roman"/>
          <w:sz w:val="24"/>
          <w:szCs w:val="24"/>
        </w:rPr>
        <w:t xml:space="preserve">uprime los mecanismos de fiscalización obligatoria del Informe; elimina la Comisión de Impacto de Género interministerial; y </w:t>
      </w:r>
      <w:r w:rsidR="00ED5EDE">
        <w:rPr>
          <w:rFonts w:ascii="Times New Roman" w:hAnsi="Times New Roman"/>
          <w:sz w:val="24"/>
          <w:szCs w:val="24"/>
        </w:rPr>
        <w:t xml:space="preserve">suprime </w:t>
      </w:r>
      <w:r>
        <w:rPr>
          <w:rFonts w:ascii="Times New Roman" w:hAnsi="Times New Roman"/>
          <w:sz w:val="24"/>
          <w:szCs w:val="24"/>
        </w:rPr>
        <w:t xml:space="preserve">las auditorías. </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En resumen, Andalucía trató de aplicar las enseñanzas de experiencias anteriores que habían fracasado por ser iniciativas de la Autoridad de Género. Para asegurarse la capacidad de cambiar la orientación del Presupuesto, puso </w:t>
      </w:r>
      <w:r w:rsidR="00ED5EDE">
        <w:rPr>
          <w:rFonts w:ascii="Times New Roman" w:hAnsi="Times New Roman"/>
          <w:sz w:val="24"/>
          <w:szCs w:val="24"/>
        </w:rPr>
        <w:t>en pie un proceso "top - down"</w:t>
      </w:r>
      <w:r>
        <w:rPr>
          <w:rFonts w:ascii="Times New Roman" w:hAnsi="Times New Roman"/>
          <w:sz w:val="24"/>
          <w:szCs w:val="24"/>
        </w:rPr>
        <w:t>. Blindó el proceso por Ley para que permaneciera más allá de los gobiernos que lo impulsaron. Pero aún así se agotó sin haber llegado al</w:t>
      </w:r>
      <w:r w:rsidR="00BE5C94">
        <w:rPr>
          <w:rFonts w:ascii="Times New Roman" w:hAnsi="Times New Roman"/>
          <w:sz w:val="24"/>
          <w:szCs w:val="24"/>
        </w:rPr>
        <w:t xml:space="preserve"> objetivo</w:t>
      </w:r>
      <w:r>
        <w:rPr>
          <w:rFonts w:ascii="Times New Roman" w:hAnsi="Times New Roman"/>
          <w:sz w:val="24"/>
          <w:szCs w:val="24"/>
        </w:rPr>
        <w:t xml:space="preserve">. </w:t>
      </w:r>
    </w:p>
    <w:p w:rsidR="00824919" w:rsidRDefault="00824919">
      <w:pPr>
        <w:tabs>
          <w:tab w:val="left" w:pos="720"/>
        </w:tabs>
        <w:spacing w:line="240" w:lineRule="auto"/>
        <w:jc w:val="both"/>
        <w:rPr>
          <w:rFonts w:ascii="Times New Roman" w:hAnsi="Times New Roman"/>
          <w:b/>
          <w:sz w:val="24"/>
          <w:szCs w:val="24"/>
        </w:rPr>
      </w:pPr>
      <w:r>
        <w:rPr>
          <w:rFonts w:ascii="Times New Roman" w:hAnsi="Times New Roman"/>
          <w:b/>
          <w:sz w:val="24"/>
          <w:szCs w:val="24"/>
        </w:rPr>
        <w:t>3.1.3.- Informes de impacto de género de los PGE</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En 2007, organizaciones feministas demandan </w:t>
      </w:r>
      <w:r w:rsidR="00ED5EDE">
        <w:rPr>
          <w:rFonts w:ascii="Times New Roman" w:hAnsi="Times New Roman"/>
          <w:sz w:val="24"/>
          <w:szCs w:val="24"/>
        </w:rPr>
        <w:t xml:space="preserve">judicialmente </w:t>
      </w:r>
      <w:r>
        <w:rPr>
          <w:rFonts w:ascii="Times New Roman" w:hAnsi="Times New Roman"/>
          <w:sz w:val="24"/>
          <w:szCs w:val="24"/>
        </w:rPr>
        <w:t>al Gobierno por no elaborar anualmente el informe de impacto  de género de los PGE</w:t>
      </w:r>
      <w:r w:rsidR="008E1153">
        <w:rPr>
          <w:rFonts w:ascii="Times New Roman" w:hAnsi="Times New Roman"/>
          <w:sz w:val="24"/>
          <w:szCs w:val="24"/>
        </w:rPr>
        <w:t xml:space="preserve">, y consiguen que dicho informe </w:t>
      </w:r>
      <w:r w:rsidR="005F7CCE">
        <w:rPr>
          <w:rFonts w:ascii="Times New Roman" w:hAnsi="Times New Roman"/>
          <w:sz w:val="24"/>
          <w:szCs w:val="24"/>
        </w:rPr>
        <w:t>se empiece</w:t>
      </w:r>
      <w:r>
        <w:rPr>
          <w:rFonts w:ascii="Times New Roman" w:hAnsi="Times New Roman"/>
          <w:sz w:val="24"/>
          <w:szCs w:val="24"/>
        </w:rPr>
        <w:t xml:space="preserve"> a realizar </w:t>
      </w:r>
      <w:r w:rsidR="008E1153">
        <w:rPr>
          <w:rFonts w:ascii="Times New Roman" w:hAnsi="Times New Roman"/>
          <w:sz w:val="24"/>
          <w:szCs w:val="24"/>
        </w:rPr>
        <w:t xml:space="preserve">en </w:t>
      </w:r>
      <w:r>
        <w:rPr>
          <w:rFonts w:ascii="Times New Roman" w:hAnsi="Times New Roman"/>
          <w:sz w:val="24"/>
          <w:szCs w:val="24"/>
        </w:rPr>
        <w:t>2009.</w:t>
      </w:r>
    </w:p>
    <w:p w:rsidR="00824919" w:rsidRDefault="00824919">
      <w:p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Durante los primeros años, el informe se limita a ofrecer algunos datos sobre la situación de mujeres y hombres y a afirmar que cada programa analizado tratará de reducir las desigualdades. Por esa sola razón, y sin ofrecer una sola cifra presupuestaria, concluye en todos los casos que el impacto de género del programa enunciado es positivo. Así ocurre en el </w:t>
      </w:r>
      <w:hyperlink r:id="rId16" w:history="1">
        <w:r>
          <w:rPr>
            <w:rStyle w:val="Hipervnculo"/>
            <w:rFonts w:ascii="Times New Roman" w:hAnsi="Times New Roman"/>
            <w:sz w:val="24"/>
            <w:szCs w:val="24"/>
          </w:rPr>
          <w:t>Informe correspondiente a los PGE de 2011</w:t>
        </w:r>
      </w:hyperlink>
      <w:r>
        <w:rPr>
          <w:rFonts w:ascii="Times New Roman" w:hAnsi="Times New Roman"/>
          <w:sz w:val="24"/>
          <w:szCs w:val="24"/>
        </w:rPr>
        <w:t xml:space="preserve">, a pesar de que ese año se realizan importantes recortes e incluso se suprime el Ministerio de Igualdad que se había creado en 2008. </w:t>
      </w:r>
    </w:p>
    <w:p w:rsidR="00824919" w:rsidRDefault="008E1153">
      <w:pPr>
        <w:tabs>
          <w:tab w:val="left" w:pos="720"/>
        </w:tabs>
        <w:spacing w:line="240" w:lineRule="auto"/>
        <w:jc w:val="both"/>
        <w:rPr>
          <w:rFonts w:ascii="Times New Roman" w:hAnsi="Times New Roman"/>
          <w:sz w:val="24"/>
          <w:szCs w:val="24"/>
        </w:rPr>
      </w:pPr>
      <w:r>
        <w:rPr>
          <w:rFonts w:ascii="Times New Roman" w:hAnsi="Times New Roman"/>
          <w:sz w:val="24"/>
          <w:szCs w:val="24"/>
        </w:rPr>
        <w:lastRenderedPageBreak/>
        <w:t xml:space="preserve">Desde 2008, </w:t>
      </w:r>
      <w:r w:rsidR="00824919">
        <w:rPr>
          <w:rFonts w:ascii="Times New Roman" w:hAnsi="Times New Roman"/>
          <w:sz w:val="24"/>
          <w:szCs w:val="24"/>
        </w:rPr>
        <w:t>la Plataforma feminista "</w:t>
      </w:r>
      <w:hyperlink r:id="rId17" w:history="1">
        <w:r w:rsidR="00824919">
          <w:rPr>
            <w:rStyle w:val="Hipervnculo"/>
            <w:rFonts w:ascii="Times New Roman" w:hAnsi="Times New Roman"/>
            <w:sz w:val="24"/>
            <w:szCs w:val="24"/>
          </w:rPr>
          <w:t>Impacto de Género Ya</w:t>
        </w:r>
      </w:hyperlink>
      <w:r>
        <w:rPr>
          <w:rFonts w:ascii="Times New Roman" w:hAnsi="Times New Roman"/>
          <w:sz w:val="24"/>
          <w:szCs w:val="24"/>
        </w:rPr>
        <w:t xml:space="preserve">" </w:t>
      </w:r>
      <w:r w:rsidR="00824919">
        <w:rPr>
          <w:rFonts w:ascii="Times New Roman" w:hAnsi="Times New Roman"/>
          <w:sz w:val="24"/>
          <w:szCs w:val="24"/>
        </w:rPr>
        <w:t xml:space="preserve">analiza las grandes partidas de gasto de los PGE y su </w:t>
      </w:r>
      <w:r>
        <w:rPr>
          <w:rFonts w:ascii="Times New Roman" w:hAnsi="Times New Roman"/>
          <w:sz w:val="24"/>
          <w:szCs w:val="24"/>
        </w:rPr>
        <w:t>evolución</w:t>
      </w:r>
      <w:r w:rsidR="00824919">
        <w:rPr>
          <w:rFonts w:ascii="Times New Roman" w:hAnsi="Times New Roman"/>
          <w:sz w:val="24"/>
          <w:szCs w:val="24"/>
        </w:rPr>
        <w:t xml:space="preserve">. </w:t>
      </w:r>
      <w:r>
        <w:rPr>
          <w:rFonts w:ascii="Times New Roman" w:hAnsi="Times New Roman"/>
          <w:sz w:val="24"/>
          <w:szCs w:val="24"/>
        </w:rPr>
        <w:t xml:space="preserve">Sobre </w:t>
      </w:r>
      <w:r w:rsidR="00824919">
        <w:rPr>
          <w:rFonts w:ascii="Times New Roman" w:hAnsi="Times New Roman"/>
          <w:sz w:val="24"/>
          <w:szCs w:val="24"/>
        </w:rPr>
        <w:t>el informe oficial</w:t>
      </w:r>
      <w:r>
        <w:rPr>
          <w:rFonts w:ascii="Times New Roman" w:hAnsi="Times New Roman"/>
          <w:sz w:val="24"/>
          <w:szCs w:val="24"/>
        </w:rPr>
        <w:t xml:space="preserve">, </w:t>
      </w:r>
      <w:hyperlink r:id="rId18" w:history="1">
        <w:r w:rsidR="00824919">
          <w:rPr>
            <w:rStyle w:val="Hipervnculo"/>
            <w:rFonts w:ascii="Times New Roman" w:hAnsi="Times New Roman"/>
            <w:sz w:val="24"/>
            <w:szCs w:val="24"/>
          </w:rPr>
          <w:t>en 2014</w:t>
        </w:r>
      </w:hyperlink>
      <w:r w:rsidR="00824919">
        <w:rPr>
          <w:rFonts w:ascii="Times New Roman" w:hAnsi="Times New Roman"/>
          <w:sz w:val="24"/>
          <w:szCs w:val="24"/>
        </w:rPr>
        <w:t xml:space="preserve"> señala: "</w:t>
      </w:r>
      <w:r w:rsidR="00824919">
        <w:rPr>
          <w:rFonts w:ascii="Times New Roman" w:hAnsi="Times New Roman"/>
          <w:i/>
          <w:sz w:val="24"/>
          <w:szCs w:val="24"/>
        </w:rPr>
        <w:t>El Informe de Impacto de Género del Presupuesto excluye el análisis de gran parte de los programas y sigue sin incluir información sobre las asignaciones presupuestarias de los programas incluidos</w:t>
      </w:r>
      <w:r w:rsidR="00824919">
        <w:rPr>
          <w:rFonts w:ascii="Times New Roman" w:hAnsi="Times New Roman"/>
          <w:sz w:val="24"/>
          <w:szCs w:val="24"/>
        </w:rPr>
        <w:t>".</w:t>
      </w:r>
    </w:p>
    <w:p w:rsidR="00824919" w:rsidRDefault="00824919"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Actualmente</w:t>
      </w:r>
      <w:r w:rsidR="008E1153">
        <w:rPr>
          <w:rFonts w:ascii="Times New Roman" w:hAnsi="Times New Roman"/>
          <w:sz w:val="24"/>
          <w:szCs w:val="24"/>
        </w:rPr>
        <w:t>,</w:t>
      </w:r>
      <w:r>
        <w:rPr>
          <w:rFonts w:ascii="Times New Roman" w:hAnsi="Times New Roman"/>
          <w:sz w:val="24"/>
          <w:szCs w:val="24"/>
        </w:rPr>
        <w:t xml:space="preserve"> el Informe </w:t>
      </w:r>
      <w:r w:rsidR="000E4ADE">
        <w:rPr>
          <w:rFonts w:ascii="Times New Roman" w:hAnsi="Times New Roman"/>
          <w:sz w:val="24"/>
          <w:szCs w:val="24"/>
        </w:rPr>
        <w:t xml:space="preserve">ya </w:t>
      </w:r>
      <w:r w:rsidR="008E1153">
        <w:rPr>
          <w:rFonts w:ascii="Times New Roman" w:hAnsi="Times New Roman"/>
          <w:sz w:val="24"/>
          <w:szCs w:val="24"/>
        </w:rPr>
        <w:t xml:space="preserve">es uno </w:t>
      </w:r>
      <w:r>
        <w:rPr>
          <w:rFonts w:ascii="Times New Roman" w:hAnsi="Times New Roman"/>
          <w:sz w:val="24"/>
          <w:szCs w:val="24"/>
        </w:rPr>
        <w:t>de los libros oficiales de los PGE, y su consulta e</w:t>
      </w:r>
      <w:r w:rsidR="008E1153">
        <w:rPr>
          <w:rFonts w:ascii="Times New Roman" w:hAnsi="Times New Roman"/>
          <w:sz w:val="24"/>
          <w:szCs w:val="24"/>
        </w:rPr>
        <w:t>n la web es mucho más amigable, pero su</w:t>
      </w:r>
      <w:r>
        <w:rPr>
          <w:rFonts w:ascii="Times New Roman" w:hAnsi="Times New Roman"/>
          <w:sz w:val="24"/>
          <w:szCs w:val="24"/>
        </w:rPr>
        <w:t xml:space="preserve"> contenido sigue en la misma tónica</w:t>
      </w:r>
      <w:r w:rsidR="008E1153">
        <w:rPr>
          <w:rFonts w:ascii="Times New Roman" w:hAnsi="Times New Roman"/>
          <w:sz w:val="24"/>
          <w:szCs w:val="24"/>
        </w:rPr>
        <w:t>. Por</w:t>
      </w:r>
      <w:r>
        <w:rPr>
          <w:rFonts w:ascii="Times New Roman" w:hAnsi="Times New Roman"/>
          <w:sz w:val="24"/>
          <w:szCs w:val="24"/>
        </w:rPr>
        <w:t xml:space="preserve"> ejemplo</w:t>
      </w:r>
      <w:r w:rsidR="008E1153">
        <w:rPr>
          <w:rFonts w:ascii="Times New Roman" w:hAnsi="Times New Roman"/>
          <w:sz w:val="24"/>
          <w:szCs w:val="24"/>
        </w:rPr>
        <w:t>,</w:t>
      </w:r>
      <w:r>
        <w:rPr>
          <w:rFonts w:ascii="Times New Roman" w:hAnsi="Times New Roman"/>
          <w:sz w:val="24"/>
          <w:szCs w:val="24"/>
        </w:rPr>
        <w:t xml:space="preserve"> el programa de "Política Tributaria" en el </w:t>
      </w:r>
      <w:hyperlink r:id="rId19" w:history="1">
        <w:r>
          <w:rPr>
            <w:rStyle w:val="Hipervnculo"/>
            <w:rFonts w:ascii="Times New Roman" w:hAnsi="Times New Roman"/>
            <w:sz w:val="24"/>
            <w:szCs w:val="24"/>
          </w:rPr>
          <w:t>informe de 2023</w:t>
        </w:r>
      </w:hyperlink>
      <w:r>
        <w:rPr>
          <w:rFonts w:ascii="Times New Roman" w:hAnsi="Times New Roman"/>
          <w:sz w:val="24"/>
          <w:szCs w:val="24"/>
        </w:rPr>
        <w:t xml:space="preserve"> (el último, ya que en 2024 se prorrogaron los PGE)</w:t>
      </w:r>
      <w:r w:rsidR="008E1153">
        <w:rPr>
          <w:rFonts w:ascii="Times New Roman" w:hAnsi="Times New Roman"/>
          <w:sz w:val="24"/>
          <w:szCs w:val="24"/>
        </w:rPr>
        <w:t xml:space="preserve"> </w:t>
      </w:r>
      <w:hyperlink r:id="rId20" w:history="1">
        <w:r w:rsidR="008E1153">
          <w:rPr>
            <w:rStyle w:val="Hipervnculo"/>
            <w:rFonts w:ascii="Times New Roman" w:hAnsi="Times New Roman"/>
            <w:sz w:val="24"/>
            <w:szCs w:val="24"/>
          </w:rPr>
          <w:t>afirma</w:t>
        </w:r>
      </w:hyperlink>
      <w:r>
        <w:rPr>
          <w:rFonts w:ascii="Times New Roman" w:hAnsi="Times New Roman"/>
          <w:sz w:val="24"/>
          <w:szCs w:val="24"/>
        </w:rPr>
        <w:t xml:space="preserve"> </w:t>
      </w:r>
      <w:r w:rsidR="008E1153">
        <w:rPr>
          <w:rFonts w:ascii="Times New Roman" w:hAnsi="Times New Roman"/>
          <w:sz w:val="24"/>
          <w:szCs w:val="24"/>
        </w:rPr>
        <w:t xml:space="preserve">que </w:t>
      </w:r>
      <w:r>
        <w:rPr>
          <w:rFonts w:ascii="Times New Roman" w:hAnsi="Times New Roman"/>
          <w:sz w:val="24"/>
          <w:szCs w:val="24"/>
        </w:rPr>
        <w:t>"</w:t>
      </w:r>
      <w:r w:rsidRPr="008E1153">
        <w:rPr>
          <w:rFonts w:ascii="Times New Roman" w:hAnsi="Times New Roman"/>
          <w:i/>
          <w:sz w:val="24"/>
          <w:szCs w:val="24"/>
        </w:rPr>
        <w:t>el sistema tributario español se basa en los principios de generalidad e igualdad y, consecuentemente, las normas tributarias no contienen sesgos de género</w:t>
      </w:r>
      <w:r>
        <w:rPr>
          <w:rFonts w:ascii="Times New Roman" w:hAnsi="Times New Roman"/>
          <w:sz w:val="24"/>
          <w:szCs w:val="24"/>
        </w:rPr>
        <w:t>"… de donde deduce que el impacto de género del programa es positivo.</w:t>
      </w:r>
    </w:p>
    <w:p w:rsidR="00824919" w:rsidRDefault="00824919" w:rsidP="004568AA">
      <w:pPr>
        <w:tabs>
          <w:tab w:val="left" w:pos="720"/>
        </w:tabs>
        <w:spacing w:before="240" w:after="0" w:line="240" w:lineRule="auto"/>
        <w:jc w:val="both"/>
        <w:rPr>
          <w:rFonts w:ascii="Times New Roman" w:hAnsi="Times New Roman"/>
          <w:b/>
          <w:sz w:val="24"/>
          <w:szCs w:val="24"/>
        </w:rPr>
      </w:pPr>
      <w:r>
        <w:rPr>
          <w:rFonts w:ascii="Times New Roman" w:hAnsi="Times New Roman"/>
          <w:b/>
          <w:sz w:val="24"/>
          <w:szCs w:val="24"/>
        </w:rPr>
        <w:t>3.2.- Un asalto a la DST en la familia</w:t>
      </w:r>
      <w:r w:rsidR="008E1153">
        <w:rPr>
          <w:rFonts w:ascii="Times New Roman" w:hAnsi="Times New Roman"/>
          <w:b/>
          <w:sz w:val="24"/>
          <w:szCs w:val="24"/>
        </w:rPr>
        <w:t>: el caso de los permisos parentales en España</w:t>
      </w:r>
    </w:p>
    <w:p w:rsidR="00824919" w:rsidRDefault="00BE5C94"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En España l</w:t>
      </w:r>
      <w:r w:rsidR="00824919">
        <w:rPr>
          <w:rFonts w:ascii="Times New Roman" w:hAnsi="Times New Roman"/>
          <w:sz w:val="24"/>
          <w:szCs w:val="24"/>
        </w:rPr>
        <w:t>os permisos de maternidad y paternidad</w:t>
      </w:r>
      <w:r w:rsidR="008E1153">
        <w:rPr>
          <w:rFonts w:ascii="Times New Roman" w:hAnsi="Times New Roman"/>
          <w:sz w:val="24"/>
          <w:szCs w:val="24"/>
        </w:rPr>
        <w:t xml:space="preserve"> fueron </w:t>
      </w:r>
      <w:r w:rsidR="00824919">
        <w:rPr>
          <w:rFonts w:ascii="Times New Roman" w:hAnsi="Times New Roman"/>
          <w:sz w:val="24"/>
          <w:szCs w:val="24"/>
        </w:rPr>
        <w:t>formalmente desiguales hasta 2019.  La Plataforma por Permisos Iguales e Intransferibles de nacimiento y adopción (</w:t>
      </w:r>
      <w:hyperlink r:id="rId21" w:history="1">
        <w:r w:rsidR="00824919">
          <w:rPr>
            <w:rStyle w:val="Hipervnculo"/>
            <w:rFonts w:ascii="Times New Roman" w:hAnsi="Times New Roman"/>
            <w:sz w:val="24"/>
            <w:szCs w:val="24"/>
          </w:rPr>
          <w:t>PP</w:t>
        </w:r>
        <w:bookmarkStart w:id="0" w:name="_Hlt180064909"/>
        <w:bookmarkStart w:id="1" w:name="_Hlt180064910"/>
        <w:r w:rsidR="00824919">
          <w:rPr>
            <w:rStyle w:val="Hipervnculo"/>
            <w:rFonts w:ascii="Times New Roman" w:hAnsi="Times New Roman"/>
            <w:sz w:val="24"/>
            <w:szCs w:val="24"/>
          </w:rPr>
          <w:t>I</w:t>
        </w:r>
        <w:bookmarkEnd w:id="0"/>
        <w:bookmarkEnd w:id="1"/>
        <w:r w:rsidR="00824919">
          <w:rPr>
            <w:rStyle w:val="Hipervnculo"/>
            <w:rFonts w:ascii="Times New Roman" w:hAnsi="Times New Roman"/>
            <w:sz w:val="24"/>
            <w:szCs w:val="24"/>
          </w:rPr>
          <w:t>I</w:t>
        </w:r>
        <w:bookmarkStart w:id="2" w:name="_Hlt180064915"/>
        <w:r w:rsidR="00824919">
          <w:rPr>
            <w:rStyle w:val="Hipervnculo"/>
            <w:rFonts w:ascii="Times New Roman" w:hAnsi="Times New Roman"/>
            <w:sz w:val="24"/>
            <w:szCs w:val="24"/>
          </w:rPr>
          <w:t>N</w:t>
        </w:r>
        <w:bookmarkEnd w:id="2"/>
        <w:r w:rsidR="00824919">
          <w:rPr>
            <w:rStyle w:val="Hipervnculo"/>
            <w:rFonts w:ascii="Times New Roman" w:hAnsi="Times New Roman"/>
            <w:sz w:val="24"/>
            <w:szCs w:val="24"/>
          </w:rPr>
          <w:t>A</w:t>
        </w:r>
      </w:hyperlink>
      <w:r w:rsidR="008E1153">
        <w:rPr>
          <w:rFonts w:ascii="Times New Roman" w:hAnsi="Times New Roman"/>
          <w:sz w:val="24"/>
          <w:szCs w:val="24"/>
        </w:rPr>
        <w:t>)</w:t>
      </w:r>
      <w:r w:rsidR="00824919">
        <w:rPr>
          <w:rFonts w:ascii="Times New Roman" w:hAnsi="Times New Roman"/>
          <w:sz w:val="24"/>
          <w:szCs w:val="24"/>
        </w:rPr>
        <w:t xml:space="preserve"> demandaba un permiso </w:t>
      </w:r>
      <w:r w:rsidR="008E1153">
        <w:rPr>
          <w:rFonts w:ascii="Times New Roman" w:hAnsi="Times New Roman"/>
          <w:sz w:val="24"/>
          <w:szCs w:val="24"/>
        </w:rPr>
        <w:t>de igual duración</w:t>
      </w:r>
      <w:r w:rsidR="00824919">
        <w:rPr>
          <w:rFonts w:ascii="Times New Roman" w:hAnsi="Times New Roman"/>
          <w:sz w:val="24"/>
          <w:szCs w:val="24"/>
        </w:rPr>
        <w:t xml:space="preserve"> para cada persona progenitora, totalmente intransferible </w:t>
      </w:r>
      <w:r w:rsidR="008E1153">
        <w:rPr>
          <w:rFonts w:ascii="Times New Roman" w:hAnsi="Times New Roman"/>
          <w:sz w:val="24"/>
          <w:szCs w:val="24"/>
        </w:rPr>
        <w:t xml:space="preserve">(a la vista de las experiencias de otros países) </w:t>
      </w:r>
      <w:r w:rsidR="00824919">
        <w:rPr>
          <w:rFonts w:ascii="Times New Roman" w:hAnsi="Times New Roman"/>
          <w:sz w:val="24"/>
          <w:szCs w:val="24"/>
        </w:rPr>
        <w:t xml:space="preserve">y pagado al 100%. Y, efectivamente, en 2021 se culminó la reforma que instauró el permiso actual, llamado "de nacimiento y cuidado del menor", de 16 semanas </w:t>
      </w:r>
      <w:r w:rsidR="000E4ADE">
        <w:rPr>
          <w:rFonts w:ascii="Times New Roman" w:hAnsi="Times New Roman"/>
          <w:sz w:val="24"/>
          <w:szCs w:val="24"/>
        </w:rPr>
        <w:t xml:space="preserve">para cada progenitor/a, </w:t>
      </w:r>
      <w:r w:rsidR="00824919">
        <w:rPr>
          <w:rFonts w:ascii="Times New Roman" w:hAnsi="Times New Roman"/>
          <w:sz w:val="24"/>
          <w:szCs w:val="24"/>
        </w:rPr>
        <w:t>a disfrutar durante el primer año, intransferible y pagado al 100%</w:t>
      </w:r>
      <w:r w:rsidR="00710784">
        <w:rPr>
          <w:rFonts w:ascii="Times New Roman" w:hAnsi="Times New Roman"/>
          <w:sz w:val="24"/>
          <w:szCs w:val="24"/>
        </w:rPr>
        <w:t>, tal como se proponía</w:t>
      </w:r>
      <w:r w:rsidR="00824919">
        <w:rPr>
          <w:rFonts w:ascii="Times New Roman" w:hAnsi="Times New Roman"/>
          <w:sz w:val="24"/>
          <w:szCs w:val="24"/>
        </w:rPr>
        <w:t xml:space="preserve">. </w:t>
      </w:r>
    </w:p>
    <w:p w:rsidR="00710784" w:rsidRDefault="00824919"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Pero, si bien se había evitado la trampa de la transferibilidad, en este caso la mayor trampa introducida es la de la simultaneidad: la ley obliga a que las primeras 6 semanas se tomen a partir del nacimiento y, si se quieren aplazar las 10 restantes, se necesita el acuerdo de la empresa para tomarlas a tiempo completo en las fechas deseadas. El resultado es que la mayoría de los padres se toman sus 16 semanas simultáneamente a la madre, lo que impide que los padres se queden solos a cargo de sus bebés un tiempo sustancial</w:t>
      </w:r>
      <w:r w:rsidR="00BE5C94">
        <w:rPr>
          <w:rFonts w:ascii="Times New Roman" w:hAnsi="Times New Roman"/>
          <w:sz w:val="24"/>
          <w:szCs w:val="24"/>
        </w:rPr>
        <w:t xml:space="preserve"> (ver más detalles en </w:t>
      </w:r>
      <w:hyperlink r:id="rId22" w:history="1">
        <w:r w:rsidR="00BE5C94" w:rsidRPr="0029390F">
          <w:rPr>
            <w:rStyle w:val="Hipervnculo"/>
            <w:rFonts w:ascii="Times New Roman" w:hAnsi="Times New Roman"/>
            <w:sz w:val="24"/>
            <w:szCs w:val="24"/>
          </w:rPr>
          <w:t>este estudio</w:t>
        </w:r>
      </w:hyperlink>
      <w:r w:rsidR="00BE5C94">
        <w:rPr>
          <w:rFonts w:ascii="Times New Roman" w:hAnsi="Times New Roman"/>
          <w:sz w:val="24"/>
          <w:szCs w:val="24"/>
        </w:rPr>
        <w:t>)</w:t>
      </w:r>
      <w:r>
        <w:rPr>
          <w:rFonts w:ascii="Times New Roman" w:hAnsi="Times New Roman"/>
          <w:sz w:val="24"/>
          <w:szCs w:val="24"/>
        </w:rPr>
        <w:t xml:space="preserve">. </w:t>
      </w:r>
    </w:p>
    <w:p w:rsidR="00824919" w:rsidRDefault="00BE5C94"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L</w:t>
      </w:r>
      <w:r w:rsidR="00824919">
        <w:rPr>
          <w:rFonts w:ascii="Times New Roman" w:hAnsi="Times New Roman"/>
          <w:sz w:val="24"/>
          <w:szCs w:val="24"/>
        </w:rPr>
        <w:t xml:space="preserve">a reforma </w:t>
      </w:r>
      <w:r w:rsidR="000E4ADE">
        <w:rPr>
          <w:rFonts w:ascii="Times New Roman" w:hAnsi="Times New Roman"/>
          <w:sz w:val="24"/>
          <w:szCs w:val="24"/>
        </w:rPr>
        <w:t xml:space="preserve">española </w:t>
      </w:r>
      <w:r w:rsidR="00824919">
        <w:rPr>
          <w:rFonts w:ascii="Times New Roman" w:hAnsi="Times New Roman"/>
          <w:sz w:val="24"/>
          <w:szCs w:val="24"/>
        </w:rPr>
        <w:t xml:space="preserve">de los permisos parentales </w:t>
      </w:r>
      <w:r>
        <w:rPr>
          <w:rFonts w:ascii="Times New Roman" w:hAnsi="Times New Roman"/>
          <w:sz w:val="24"/>
          <w:szCs w:val="24"/>
        </w:rPr>
        <w:t xml:space="preserve">podría haber sido pionera, pero </w:t>
      </w:r>
      <w:r w:rsidR="0029390F">
        <w:rPr>
          <w:rFonts w:ascii="Times New Roman" w:hAnsi="Times New Roman"/>
          <w:sz w:val="24"/>
          <w:szCs w:val="24"/>
        </w:rPr>
        <w:t xml:space="preserve">ha sido otra oportunidad perdida: ni sirve para </w:t>
      </w:r>
      <w:r w:rsidR="00824919">
        <w:rPr>
          <w:rFonts w:ascii="Times New Roman" w:hAnsi="Times New Roman"/>
          <w:sz w:val="24"/>
          <w:szCs w:val="24"/>
        </w:rPr>
        <w:t xml:space="preserve">que </w:t>
      </w:r>
      <w:r w:rsidR="0029390F">
        <w:rPr>
          <w:rFonts w:ascii="Times New Roman" w:hAnsi="Times New Roman"/>
          <w:sz w:val="24"/>
          <w:szCs w:val="24"/>
        </w:rPr>
        <w:t xml:space="preserve">la mayoría de </w:t>
      </w:r>
      <w:r w:rsidR="00824919">
        <w:rPr>
          <w:rFonts w:ascii="Times New Roman" w:hAnsi="Times New Roman"/>
          <w:sz w:val="24"/>
          <w:szCs w:val="24"/>
        </w:rPr>
        <w:t>los hom</w:t>
      </w:r>
      <w:r w:rsidR="00710784">
        <w:rPr>
          <w:rFonts w:ascii="Times New Roman" w:hAnsi="Times New Roman"/>
          <w:sz w:val="24"/>
          <w:szCs w:val="24"/>
        </w:rPr>
        <w:t>bres se inicien en los cuidados</w:t>
      </w:r>
      <w:r w:rsidR="00824919">
        <w:rPr>
          <w:rFonts w:ascii="Times New Roman" w:hAnsi="Times New Roman"/>
          <w:sz w:val="24"/>
          <w:szCs w:val="24"/>
        </w:rPr>
        <w:t xml:space="preserve"> ni para que las madres puedan volver a sus puestos de trabajo sin tener que tomarse permisos no pagados o reducciones de jornada "por conciliación".</w:t>
      </w:r>
      <w:r w:rsidR="0029390F">
        <w:rPr>
          <w:rFonts w:ascii="Times New Roman" w:hAnsi="Times New Roman"/>
          <w:sz w:val="24"/>
          <w:szCs w:val="24"/>
        </w:rPr>
        <w:t xml:space="preserve"> Todo en detrimento también de los bebés que, con el mismo gasto público, podrían </w:t>
      </w:r>
      <w:r w:rsidR="000E4ADE">
        <w:rPr>
          <w:rFonts w:ascii="Times New Roman" w:hAnsi="Times New Roman"/>
          <w:sz w:val="24"/>
          <w:szCs w:val="24"/>
        </w:rPr>
        <w:t xml:space="preserve">haber tenido </w:t>
      </w:r>
      <w:r w:rsidR="0029390F">
        <w:rPr>
          <w:rFonts w:ascii="Times New Roman" w:hAnsi="Times New Roman"/>
          <w:sz w:val="24"/>
          <w:szCs w:val="24"/>
        </w:rPr>
        <w:t>aseguradas 30 semanas de cuidado en casa por sus dos progenitores</w:t>
      </w:r>
      <w:r w:rsidR="000E4ADE">
        <w:rPr>
          <w:rFonts w:ascii="Times New Roman" w:hAnsi="Times New Roman"/>
          <w:sz w:val="24"/>
          <w:szCs w:val="24"/>
        </w:rPr>
        <w:t xml:space="preserve">, </w:t>
      </w:r>
      <w:r w:rsidR="0029390F">
        <w:rPr>
          <w:rFonts w:ascii="Times New Roman" w:hAnsi="Times New Roman"/>
          <w:sz w:val="24"/>
          <w:szCs w:val="24"/>
        </w:rPr>
        <w:t xml:space="preserve">en lugar de </w:t>
      </w:r>
      <w:r w:rsidR="000E4ADE">
        <w:rPr>
          <w:rFonts w:ascii="Times New Roman" w:hAnsi="Times New Roman"/>
          <w:sz w:val="24"/>
          <w:szCs w:val="24"/>
        </w:rPr>
        <w:t xml:space="preserve">las </w:t>
      </w:r>
      <w:r w:rsidR="0029390F">
        <w:rPr>
          <w:rFonts w:ascii="Times New Roman" w:hAnsi="Times New Roman"/>
          <w:sz w:val="24"/>
          <w:szCs w:val="24"/>
        </w:rPr>
        <w:t>16</w:t>
      </w:r>
      <w:r w:rsidR="000E4ADE">
        <w:rPr>
          <w:rFonts w:ascii="Times New Roman" w:hAnsi="Times New Roman"/>
          <w:sz w:val="24"/>
          <w:szCs w:val="24"/>
        </w:rPr>
        <w:t xml:space="preserve"> actuales.</w:t>
      </w:r>
    </w:p>
    <w:p w:rsidR="00824919" w:rsidRPr="00C00F38" w:rsidRDefault="00824919" w:rsidP="004568AA">
      <w:pPr>
        <w:tabs>
          <w:tab w:val="left" w:pos="720"/>
        </w:tabs>
        <w:spacing w:before="240" w:after="0" w:line="240" w:lineRule="auto"/>
        <w:jc w:val="both"/>
        <w:rPr>
          <w:rFonts w:ascii="Times New Roman" w:hAnsi="Times New Roman"/>
          <w:b/>
          <w:sz w:val="24"/>
          <w:szCs w:val="24"/>
        </w:rPr>
      </w:pPr>
      <w:r w:rsidRPr="00C00F38">
        <w:rPr>
          <w:rFonts w:ascii="Times New Roman" w:hAnsi="Times New Roman"/>
          <w:b/>
          <w:sz w:val="24"/>
          <w:szCs w:val="24"/>
        </w:rPr>
        <w:t>4.- Conclusiones y recomendaciones</w:t>
      </w:r>
    </w:p>
    <w:p w:rsidR="008F3828" w:rsidRDefault="008F3828"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 xml:space="preserve">En muchas ocasiones, los procesos de GB se han considerado un ejercicio técnico que a la ciudadanía le parece difícil de desbrozar. Frecuentemente se achacan las deficiencias a la falta de formación de las personas funcionarias. </w:t>
      </w:r>
      <w:r w:rsidR="00EA4726">
        <w:rPr>
          <w:rFonts w:ascii="Times New Roman" w:hAnsi="Times New Roman"/>
          <w:sz w:val="24"/>
          <w:szCs w:val="24"/>
        </w:rPr>
        <w:t xml:space="preserve">Sin embargo, </w:t>
      </w:r>
      <w:r>
        <w:rPr>
          <w:rFonts w:ascii="Times New Roman" w:hAnsi="Times New Roman"/>
          <w:sz w:val="24"/>
          <w:szCs w:val="24"/>
        </w:rPr>
        <w:t>las organizaciones sociales (feministas, sindicales, etc.) analizan las partidas presupuestarias que les afectan</w:t>
      </w:r>
      <w:r w:rsidR="0029390F">
        <w:rPr>
          <w:rFonts w:ascii="Times New Roman" w:hAnsi="Times New Roman"/>
          <w:sz w:val="24"/>
          <w:szCs w:val="24"/>
        </w:rPr>
        <w:t xml:space="preserve"> sin necesidad de formación especializada en técnica presupuestaria</w:t>
      </w:r>
      <w:r>
        <w:rPr>
          <w:rFonts w:ascii="Times New Roman" w:hAnsi="Times New Roman"/>
          <w:sz w:val="24"/>
          <w:szCs w:val="24"/>
        </w:rPr>
        <w:t>.</w:t>
      </w:r>
    </w:p>
    <w:p w:rsidR="008F3828" w:rsidRDefault="00824919"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 xml:space="preserve">La estrategia del mainstreaming de género surge tras comprobarse que varias décadas de políticas específicas de igualdad no habían dado grandes resultados. </w:t>
      </w:r>
      <w:r w:rsidR="00710784">
        <w:rPr>
          <w:rFonts w:ascii="Times New Roman" w:hAnsi="Times New Roman"/>
          <w:sz w:val="24"/>
          <w:szCs w:val="24"/>
        </w:rPr>
        <w:t xml:space="preserve">Una década después, a la vista de que </w:t>
      </w:r>
      <w:r>
        <w:rPr>
          <w:rFonts w:ascii="Times New Roman" w:hAnsi="Times New Roman"/>
          <w:sz w:val="24"/>
          <w:szCs w:val="24"/>
        </w:rPr>
        <w:t>no estaba cambiando la corriente principal</w:t>
      </w:r>
      <w:r w:rsidR="00710784">
        <w:rPr>
          <w:rFonts w:ascii="Times New Roman" w:hAnsi="Times New Roman"/>
          <w:sz w:val="24"/>
          <w:szCs w:val="24"/>
        </w:rPr>
        <w:t>, surge la estrategia del GB</w:t>
      </w:r>
      <w:r>
        <w:rPr>
          <w:rFonts w:ascii="Times New Roman" w:hAnsi="Times New Roman"/>
          <w:sz w:val="24"/>
          <w:szCs w:val="24"/>
        </w:rPr>
        <w:t xml:space="preserve">. </w:t>
      </w:r>
      <w:r w:rsidR="00710784">
        <w:rPr>
          <w:rFonts w:ascii="Times New Roman" w:hAnsi="Times New Roman"/>
          <w:sz w:val="24"/>
          <w:szCs w:val="24"/>
        </w:rPr>
        <w:t>Han pasado otros 20 años y q</w:t>
      </w:r>
      <w:r>
        <w:rPr>
          <w:rFonts w:ascii="Times New Roman" w:hAnsi="Times New Roman"/>
          <w:sz w:val="24"/>
          <w:szCs w:val="24"/>
        </w:rPr>
        <w:t xml:space="preserve">uizás </w:t>
      </w:r>
      <w:r w:rsidR="00710784">
        <w:rPr>
          <w:rFonts w:ascii="Times New Roman" w:hAnsi="Times New Roman"/>
          <w:sz w:val="24"/>
          <w:szCs w:val="24"/>
        </w:rPr>
        <w:t>sea</w:t>
      </w:r>
      <w:r>
        <w:rPr>
          <w:rFonts w:ascii="Times New Roman" w:hAnsi="Times New Roman"/>
          <w:sz w:val="24"/>
          <w:szCs w:val="24"/>
        </w:rPr>
        <w:t xml:space="preserve"> el momento de evaluar los resultados de </w:t>
      </w:r>
      <w:r w:rsidR="00710784">
        <w:rPr>
          <w:rFonts w:ascii="Times New Roman" w:hAnsi="Times New Roman"/>
          <w:sz w:val="24"/>
          <w:szCs w:val="24"/>
        </w:rPr>
        <w:t>esta</w:t>
      </w:r>
      <w:r>
        <w:rPr>
          <w:rFonts w:ascii="Times New Roman" w:hAnsi="Times New Roman"/>
          <w:sz w:val="24"/>
          <w:szCs w:val="24"/>
        </w:rPr>
        <w:t xml:space="preserve"> estrategia en relación a</w:t>
      </w:r>
      <w:r w:rsidR="00710784">
        <w:rPr>
          <w:rFonts w:ascii="Times New Roman" w:hAnsi="Times New Roman"/>
          <w:sz w:val="24"/>
          <w:szCs w:val="24"/>
        </w:rPr>
        <w:t xml:space="preserve"> su</w:t>
      </w:r>
      <w:r>
        <w:rPr>
          <w:rFonts w:ascii="Times New Roman" w:hAnsi="Times New Roman"/>
          <w:sz w:val="24"/>
          <w:szCs w:val="24"/>
        </w:rPr>
        <w:t xml:space="preserve"> objetivo</w:t>
      </w:r>
      <w:r w:rsidR="00710784">
        <w:rPr>
          <w:rFonts w:ascii="Times New Roman" w:hAnsi="Times New Roman"/>
          <w:sz w:val="24"/>
          <w:szCs w:val="24"/>
        </w:rPr>
        <w:t xml:space="preserve"> aún pendiente</w:t>
      </w:r>
      <w:r>
        <w:rPr>
          <w:rFonts w:ascii="Times New Roman" w:hAnsi="Times New Roman"/>
          <w:sz w:val="24"/>
          <w:szCs w:val="24"/>
        </w:rPr>
        <w:t xml:space="preserve">: cambiar la estructura de los presupuestos, que es lo mismo que cambiar la corriente principal de las políticas públicas. </w:t>
      </w:r>
    </w:p>
    <w:p w:rsidR="008F3828" w:rsidRDefault="008F3828" w:rsidP="004568AA">
      <w:pPr>
        <w:tabs>
          <w:tab w:val="left" w:pos="720"/>
        </w:tabs>
        <w:spacing w:before="240" w:after="0" w:line="240" w:lineRule="auto"/>
        <w:jc w:val="both"/>
        <w:rPr>
          <w:rFonts w:ascii="Times New Roman" w:hAnsi="Times New Roman"/>
          <w:sz w:val="24"/>
          <w:szCs w:val="24"/>
        </w:rPr>
      </w:pPr>
      <w:r>
        <w:rPr>
          <w:rFonts w:ascii="Times New Roman" w:hAnsi="Times New Roman"/>
          <w:sz w:val="24"/>
          <w:szCs w:val="24"/>
        </w:rPr>
        <w:t>El movimiento feminista ha conquistado derechos y las mujeres los h</w:t>
      </w:r>
      <w:r w:rsidR="000E4ADE">
        <w:rPr>
          <w:rFonts w:ascii="Times New Roman" w:hAnsi="Times New Roman"/>
          <w:sz w:val="24"/>
          <w:szCs w:val="24"/>
        </w:rPr>
        <w:t>emos</w:t>
      </w:r>
      <w:r>
        <w:rPr>
          <w:rFonts w:ascii="Times New Roman" w:hAnsi="Times New Roman"/>
          <w:sz w:val="24"/>
          <w:szCs w:val="24"/>
        </w:rPr>
        <w:t xml:space="preserve"> aprovechado </w:t>
      </w:r>
      <w:r w:rsidR="009B2999">
        <w:rPr>
          <w:rFonts w:ascii="Times New Roman" w:hAnsi="Times New Roman"/>
          <w:sz w:val="24"/>
          <w:szCs w:val="24"/>
        </w:rPr>
        <w:t xml:space="preserve">extensivamente. Gozamos de derechos civiles, accedemos a la educación, al empleo (o al paro), a los parlamentos. Pero ya hemos comprobado que </w:t>
      </w:r>
      <w:r w:rsidR="00EA4726">
        <w:rPr>
          <w:rFonts w:ascii="Times New Roman" w:hAnsi="Times New Roman"/>
          <w:sz w:val="24"/>
          <w:szCs w:val="24"/>
        </w:rPr>
        <w:t>"</w:t>
      </w:r>
      <w:r w:rsidR="00EA4726" w:rsidRPr="0029390F">
        <w:rPr>
          <w:rFonts w:ascii="Times New Roman" w:hAnsi="Times New Roman"/>
          <w:i/>
          <w:sz w:val="24"/>
          <w:szCs w:val="24"/>
        </w:rPr>
        <w:t xml:space="preserve">no es lo mismo </w:t>
      </w:r>
      <w:r w:rsidR="009B2999" w:rsidRPr="0029390F">
        <w:rPr>
          <w:rFonts w:ascii="Times New Roman" w:hAnsi="Times New Roman"/>
          <w:i/>
          <w:sz w:val="24"/>
          <w:szCs w:val="24"/>
        </w:rPr>
        <w:t>tenerlo todo que tener que hacerlo todo</w:t>
      </w:r>
      <w:r w:rsidR="009B2999">
        <w:rPr>
          <w:rFonts w:ascii="Times New Roman" w:hAnsi="Times New Roman"/>
          <w:sz w:val="24"/>
          <w:szCs w:val="24"/>
        </w:rPr>
        <w:t>". Estamos agotadas por las dobles y triples jornadas; seguimos siendo mucho más precarias y, en países como España, muchas son económicamente dependientes. Aquí una lista de algunos cambios estructurales para que la igualdad sea posible en la realidad:</w:t>
      </w:r>
      <w:r>
        <w:rPr>
          <w:rFonts w:ascii="Times New Roman" w:hAnsi="Times New Roman"/>
          <w:sz w:val="24"/>
          <w:szCs w:val="24"/>
        </w:rPr>
        <w:t xml:space="preserve"> </w:t>
      </w:r>
    </w:p>
    <w:p w:rsidR="003D2C38" w:rsidRDefault="003D2C38" w:rsidP="00710784">
      <w:pPr>
        <w:tabs>
          <w:tab w:val="left" w:pos="720"/>
        </w:tabs>
        <w:spacing w:after="0" w:line="240" w:lineRule="auto"/>
        <w:jc w:val="both"/>
        <w:rPr>
          <w:rFonts w:ascii="Times New Roman" w:hAnsi="Times New Roman"/>
          <w:sz w:val="24"/>
          <w:szCs w:val="24"/>
        </w:rPr>
      </w:pPr>
    </w:p>
    <w:p w:rsidR="009B2999" w:rsidRPr="004568AA" w:rsidRDefault="00824919" w:rsidP="004568AA">
      <w:pPr>
        <w:numPr>
          <w:ilvl w:val="0"/>
          <w:numId w:val="4"/>
        </w:numPr>
        <w:tabs>
          <w:tab w:val="left" w:pos="720"/>
        </w:tabs>
        <w:spacing w:after="0" w:line="240" w:lineRule="auto"/>
        <w:jc w:val="both"/>
        <w:rPr>
          <w:rFonts w:ascii="Times New Roman" w:hAnsi="Times New Roman"/>
          <w:sz w:val="24"/>
          <w:szCs w:val="24"/>
        </w:rPr>
      </w:pPr>
      <w:r w:rsidRPr="004568AA">
        <w:rPr>
          <w:rFonts w:ascii="Times New Roman" w:hAnsi="Times New Roman"/>
          <w:sz w:val="24"/>
          <w:szCs w:val="24"/>
        </w:rPr>
        <w:t>Permisos de maternidad/paternidad iguales, intransferibles, pagados al 100% y con libertad para que madres y padres se turnen;</w:t>
      </w:r>
    </w:p>
    <w:p w:rsidR="00824919" w:rsidRPr="004568AA" w:rsidRDefault="00824919" w:rsidP="004568AA">
      <w:pPr>
        <w:numPr>
          <w:ilvl w:val="0"/>
          <w:numId w:val="4"/>
        </w:numPr>
        <w:tabs>
          <w:tab w:val="left" w:pos="720"/>
        </w:tabs>
        <w:spacing w:after="0" w:line="240" w:lineRule="auto"/>
        <w:jc w:val="both"/>
        <w:rPr>
          <w:rFonts w:ascii="Times New Roman" w:hAnsi="Times New Roman"/>
          <w:sz w:val="24"/>
          <w:szCs w:val="24"/>
        </w:rPr>
      </w:pPr>
      <w:r w:rsidRPr="004568AA">
        <w:rPr>
          <w:rFonts w:ascii="Times New Roman" w:hAnsi="Times New Roman"/>
          <w:sz w:val="24"/>
          <w:szCs w:val="24"/>
        </w:rPr>
        <w:lastRenderedPageBreak/>
        <w:t>Educación infantil universal desde el fin de los per</w:t>
      </w:r>
      <w:r w:rsidR="000E4ADE">
        <w:rPr>
          <w:rFonts w:ascii="Times New Roman" w:hAnsi="Times New Roman"/>
          <w:sz w:val="24"/>
          <w:szCs w:val="24"/>
        </w:rPr>
        <w:t xml:space="preserve">misos de maternidad/paternidad, </w:t>
      </w:r>
      <w:r w:rsidRPr="004568AA">
        <w:rPr>
          <w:rFonts w:ascii="Times New Roman" w:hAnsi="Times New Roman"/>
          <w:sz w:val="24"/>
          <w:szCs w:val="24"/>
        </w:rPr>
        <w:t>de cal</w:t>
      </w:r>
      <w:r w:rsidR="000E4ADE">
        <w:rPr>
          <w:rFonts w:ascii="Times New Roman" w:hAnsi="Times New Roman"/>
          <w:sz w:val="24"/>
          <w:szCs w:val="24"/>
        </w:rPr>
        <w:t xml:space="preserve">idad y con horarios suficientes, </w:t>
      </w:r>
      <w:r w:rsidRPr="004568AA">
        <w:rPr>
          <w:rFonts w:ascii="Times New Roman" w:hAnsi="Times New Roman"/>
          <w:sz w:val="24"/>
          <w:szCs w:val="24"/>
        </w:rPr>
        <w:t>c</w:t>
      </w:r>
      <w:r w:rsidR="000E4ADE">
        <w:rPr>
          <w:rFonts w:ascii="Times New Roman" w:hAnsi="Times New Roman"/>
          <w:sz w:val="24"/>
          <w:szCs w:val="24"/>
        </w:rPr>
        <w:t>ompletamente pública y gratuita</w:t>
      </w:r>
      <w:r w:rsidRPr="004568AA">
        <w:rPr>
          <w:rFonts w:ascii="Times New Roman" w:hAnsi="Times New Roman"/>
          <w:sz w:val="24"/>
          <w:szCs w:val="24"/>
        </w:rPr>
        <w:t xml:space="preserve">; </w:t>
      </w:r>
    </w:p>
    <w:p w:rsidR="00824919" w:rsidRPr="004568AA" w:rsidRDefault="000E4ADE" w:rsidP="004568A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A</w:t>
      </w:r>
      <w:r w:rsidR="00824919" w:rsidRPr="004568AA">
        <w:rPr>
          <w:rFonts w:ascii="Times New Roman" w:hAnsi="Times New Roman"/>
          <w:sz w:val="24"/>
          <w:szCs w:val="24"/>
        </w:rPr>
        <w:t>ten</w:t>
      </w:r>
      <w:r>
        <w:rPr>
          <w:rFonts w:ascii="Times New Roman" w:hAnsi="Times New Roman"/>
          <w:sz w:val="24"/>
          <w:szCs w:val="24"/>
        </w:rPr>
        <w:t xml:space="preserve">ción a la dependencia universal, suficiente </w:t>
      </w:r>
      <w:r w:rsidR="00824919" w:rsidRPr="004568AA">
        <w:rPr>
          <w:rFonts w:ascii="Times New Roman" w:hAnsi="Times New Roman"/>
          <w:sz w:val="24"/>
          <w:szCs w:val="24"/>
        </w:rPr>
        <w:t>y de calidad (para lo que necesariamente tiene que ser de gesti</w:t>
      </w:r>
      <w:r>
        <w:rPr>
          <w:rFonts w:ascii="Times New Roman" w:hAnsi="Times New Roman"/>
          <w:sz w:val="24"/>
          <w:szCs w:val="24"/>
        </w:rPr>
        <w:t>ón pública)</w:t>
      </w:r>
    </w:p>
    <w:p w:rsidR="00824919" w:rsidRPr="004568AA" w:rsidRDefault="00824919" w:rsidP="004568AA">
      <w:pPr>
        <w:numPr>
          <w:ilvl w:val="0"/>
          <w:numId w:val="4"/>
        </w:numPr>
        <w:spacing w:after="0" w:line="240" w:lineRule="auto"/>
        <w:jc w:val="both"/>
        <w:rPr>
          <w:rFonts w:ascii="Times New Roman" w:hAnsi="Times New Roman"/>
          <w:sz w:val="24"/>
          <w:szCs w:val="24"/>
        </w:rPr>
      </w:pPr>
      <w:r w:rsidRPr="004568AA">
        <w:rPr>
          <w:rFonts w:ascii="Times New Roman" w:hAnsi="Times New Roman"/>
          <w:sz w:val="24"/>
          <w:szCs w:val="24"/>
        </w:rPr>
        <w:t xml:space="preserve">Jornadas de trabajo estables y cortas para que sean compatibles con los cuidados (35 horas semanales en 5 días, no en 4). </w:t>
      </w:r>
    </w:p>
    <w:p w:rsidR="00824919" w:rsidRPr="004568AA" w:rsidRDefault="00824919" w:rsidP="004568AA">
      <w:pPr>
        <w:numPr>
          <w:ilvl w:val="0"/>
          <w:numId w:val="4"/>
        </w:numPr>
        <w:spacing w:after="0" w:line="240" w:lineRule="auto"/>
        <w:jc w:val="both"/>
        <w:rPr>
          <w:rFonts w:ascii="Times New Roman" w:hAnsi="Times New Roman"/>
          <w:sz w:val="24"/>
          <w:szCs w:val="24"/>
        </w:rPr>
      </w:pPr>
      <w:r w:rsidRPr="004568AA">
        <w:rPr>
          <w:rFonts w:ascii="Times New Roman" w:hAnsi="Times New Roman"/>
          <w:sz w:val="24"/>
          <w:szCs w:val="24"/>
        </w:rPr>
        <w:t>Eliminación de todos los incentivos a la permanencia de las mujeres en el hogar y de todas las prestaciones no pagadas o mal pagadas, de tal forma que todas las mujeres sean económicamente independientes durante toda su vida.</w:t>
      </w:r>
    </w:p>
    <w:p w:rsidR="00824919" w:rsidRDefault="00824919" w:rsidP="004568AA">
      <w:pPr>
        <w:spacing w:after="0" w:line="240" w:lineRule="auto"/>
        <w:ind w:left="420" w:firstLine="60"/>
        <w:jc w:val="both"/>
        <w:rPr>
          <w:rFonts w:ascii="Times New Roman" w:hAnsi="Times New Roman"/>
          <w:sz w:val="24"/>
          <w:szCs w:val="24"/>
        </w:rPr>
      </w:pPr>
    </w:p>
    <w:p w:rsidR="008F3828" w:rsidRDefault="00824919" w:rsidP="008F3828">
      <w:pPr>
        <w:tabs>
          <w:tab w:val="left" w:pos="720"/>
        </w:tabs>
        <w:spacing w:after="0" w:line="240" w:lineRule="auto"/>
        <w:jc w:val="both"/>
        <w:rPr>
          <w:rFonts w:ascii="Times New Roman" w:hAnsi="Times New Roman"/>
          <w:sz w:val="24"/>
          <w:szCs w:val="24"/>
        </w:rPr>
      </w:pPr>
      <w:r>
        <w:rPr>
          <w:rFonts w:ascii="Times New Roman" w:hAnsi="Times New Roman"/>
          <w:sz w:val="24"/>
          <w:szCs w:val="24"/>
        </w:rPr>
        <w:t>Estas no son todas las medidas necesarias para cambiar la orientación de los presupuestos públicos, pero son esenciales. Son abordables económicamente y gozan de gran popularidad.</w:t>
      </w:r>
      <w:r w:rsidR="008F3828">
        <w:rPr>
          <w:rFonts w:ascii="Times New Roman" w:hAnsi="Times New Roman"/>
          <w:sz w:val="24"/>
          <w:szCs w:val="24"/>
        </w:rPr>
        <w:t xml:space="preserve"> </w:t>
      </w:r>
      <w:r w:rsidR="009B2999">
        <w:rPr>
          <w:rFonts w:ascii="Times New Roman" w:hAnsi="Times New Roman"/>
          <w:sz w:val="24"/>
          <w:szCs w:val="24"/>
        </w:rPr>
        <w:t xml:space="preserve">Los estudios de viabilidad están disponibles. </w:t>
      </w:r>
      <w:r w:rsidR="00705018">
        <w:rPr>
          <w:rFonts w:ascii="Times New Roman" w:hAnsi="Times New Roman"/>
          <w:sz w:val="24"/>
          <w:szCs w:val="24"/>
        </w:rPr>
        <w:t xml:space="preserve">No son nuevas, </w:t>
      </w:r>
      <w:r w:rsidR="009B2999">
        <w:rPr>
          <w:rFonts w:ascii="Times New Roman" w:hAnsi="Times New Roman"/>
          <w:sz w:val="24"/>
          <w:szCs w:val="24"/>
        </w:rPr>
        <w:t xml:space="preserve">y </w:t>
      </w:r>
      <w:r w:rsidR="00705018">
        <w:rPr>
          <w:rFonts w:ascii="Times New Roman" w:hAnsi="Times New Roman"/>
          <w:sz w:val="24"/>
          <w:szCs w:val="24"/>
        </w:rPr>
        <w:t>algunos países ya han avanzado en algunas de ellas</w:t>
      </w:r>
      <w:r w:rsidR="009B2999">
        <w:rPr>
          <w:rFonts w:ascii="Times New Roman" w:hAnsi="Times New Roman"/>
          <w:sz w:val="24"/>
          <w:szCs w:val="24"/>
        </w:rPr>
        <w:t xml:space="preserve">. Solo necesitamos que los </w:t>
      </w:r>
      <w:r w:rsidR="008F3828">
        <w:rPr>
          <w:rFonts w:ascii="Times New Roman" w:hAnsi="Times New Roman"/>
          <w:sz w:val="24"/>
          <w:szCs w:val="24"/>
        </w:rPr>
        <w:t>gobierno</w:t>
      </w:r>
      <w:r w:rsidR="00EA4726">
        <w:rPr>
          <w:rFonts w:ascii="Times New Roman" w:hAnsi="Times New Roman"/>
          <w:sz w:val="24"/>
          <w:szCs w:val="24"/>
        </w:rPr>
        <w:t>s</w:t>
      </w:r>
      <w:r w:rsidR="008F3828">
        <w:rPr>
          <w:rFonts w:ascii="Times New Roman" w:hAnsi="Times New Roman"/>
          <w:sz w:val="24"/>
          <w:szCs w:val="24"/>
        </w:rPr>
        <w:t xml:space="preserve"> tenga</w:t>
      </w:r>
      <w:r w:rsidR="00EA4726">
        <w:rPr>
          <w:rFonts w:ascii="Times New Roman" w:hAnsi="Times New Roman"/>
          <w:sz w:val="24"/>
          <w:szCs w:val="24"/>
        </w:rPr>
        <w:t>n</w:t>
      </w:r>
      <w:r w:rsidR="008F3828">
        <w:rPr>
          <w:rFonts w:ascii="Times New Roman" w:hAnsi="Times New Roman"/>
          <w:sz w:val="24"/>
          <w:szCs w:val="24"/>
        </w:rPr>
        <w:t xml:space="preserve"> la voluntad política</w:t>
      </w:r>
      <w:r w:rsidR="00705018">
        <w:rPr>
          <w:rFonts w:ascii="Times New Roman" w:hAnsi="Times New Roman"/>
          <w:sz w:val="24"/>
          <w:szCs w:val="24"/>
        </w:rPr>
        <w:t xml:space="preserve"> de dar el salto estructural.</w:t>
      </w:r>
    </w:p>
    <w:p w:rsidR="008F3828" w:rsidRDefault="008F3828" w:rsidP="008F3828">
      <w:pPr>
        <w:tabs>
          <w:tab w:val="left" w:pos="720"/>
        </w:tabs>
        <w:spacing w:after="0" w:line="240" w:lineRule="auto"/>
        <w:jc w:val="both"/>
        <w:rPr>
          <w:rFonts w:ascii="Times New Roman" w:hAnsi="Times New Roman"/>
          <w:sz w:val="24"/>
          <w:szCs w:val="24"/>
        </w:rPr>
      </w:pPr>
    </w:p>
    <w:p w:rsidR="00824919" w:rsidRDefault="00824919">
      <w:pPr>
        <w:spacing w:after="0" w:line="240" w:lineRule="auto"/>
        <w:ind w:left="60"/>
        <w:jc w:val="both"/>
        <w:rPr>
          <w:rFonts w:ascii="Times New Roman" w:hAnsi="Times New Roman"/>
          <w:sz w:val="24"/>
          <w:szCs w:val="24"/>
        </w:rPr>
      </w:pPr>
    </w:p>
    <w:p w:rsidR="00824919" w:rsidRDefault="00824919">
      <w:pPr>
        <w:tabs>
          <w:tab w:val="left" w:pos="720"/>
        </w:tabs>
        <w:spacing w:after="0" w:line="240" w:lineRule="auto"/>
        <w:jc w:val="both"/>
        <w:rPr>
          <w:rFonts w:ascii="Times New Roman" w:hAnsi="Times New Roman"/>
          <w:sz w:val="24"/>
          <w:szCs w:val="24"/>
        </w:rPr>
      </w:pPr>
    </w:p>
    <w:sectPr w:rsidR="00824919">
      <w:footerReference w:type="default" r:id="rId23"/>
      <w:pgSz w:w="11906" w:h="16838"/>
      <w:pgMar w:top="720" w:right="720" w:bottom="0" w:left="720" w:header="709"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19" w:rsidRDefault="00824919">
      <w:pPr>
        <w:spacing w:after="0" w:line="240" w:lineRule="auto"/>
      </w:pPr>
      <w:r>
        <w:separator/>
      </w:r>
    </w:p>
  </w:endnote>
  <w:endnote w:type="continuationSeparator" w:id="0">
    <w:p w:rsidR="00824919" w:rsidRDefault="00824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19" w:rsidRDefault="00824919">
    <w:pPr>
      <w:pStyle w:val="Piedepgina"/>
      <w:jc w:val="center"/>
    </w:pPr>
    <w:fldSimple w:instr=" PAGE   \* MERGEFORMAT ">
      <w:r w:rsidR="00240036" w:rsidRPr="00240036">
        <w:rPr>
          <w:noProof/>
          <w:lang w:val="es-ES" w:eastAsia="es-ES"/>
        </w:rPr>
        <w:t>6</w:t>
      </w:r>
    </w:fldSimple>
  </w:p>
  <w:p w:rsidR="00824919" w:rsidRDefault="008249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19" w:rsidRDefault="00824919">
      <w:pPr>
        <w:spacing w:after="0" w:line="240" w:lineRule="auto"/>
      </w:pPr>
      <w:r>
        <w:separator/>
      </w:r>
    </w:p>
  </w:footnote>
  <w:footnote w:type="continuationSeparator" w:id="0">
    <w:p w:rsidR="00824919" w:rsidRDefault="00824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AD3"/>
    <w:multiLevelType w:val="multilevel"/>
    <w:tmpl w:val="05D86AD3"/>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16E86673"/>
    <w:multiLevelType w:val="hybridMultilevel"/>
    <w:tmpl w:val="2690E8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A040A6"/>
    <w:multiLevelType w:val="hybridMultilevel"/>
    <w:tmpl w:val="A530A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AFB7626"/>
    <w:multiLevelType w:val="hybridMultilevel"/>
    <w:tmpl w:val="B5B2F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0316"/>
    <w:rsid w:val="00025308"/>
    <w:rsid w:val="00033206"/>
    <w:rsid w:val="00053C79"/>
    <w:rsid w:val="00060F5D"/>
    <w:rsid w:val="00072F55"/>
    <w:rsid w:val="00090B63"/>
    <w:rsid w:val="00092096"/>
    <w:rsid w:val="000D45CF"/>
    <w:rsid w:val="000D47C4"/>
    <w:rsid w:val="000D74AE"/>
    <w:rsid w:val="000E1147"/>
    <w:rsid w:val="000E3E51"/>
    <w:rsid w:val="000E4ADE"/>
    <w:rsid w:val="000F6BF8"/>
    <w:rsid w:val="0010771D"/>
    <w:rsid w:val="001119D6"/>
    <w:rsid w:val="00112D75"/>
    <w:rsid w:val="0012180E"/>
    <w:rsid w:val="00166725"/>
    <w:rsid w:val="00181C38"/>
    <w:rsid w:val="00187292"/>
    <w:rsid w:val="001A3606"/>
    <w:rsid w:val="001B7B24"/>
    <w:rsid w:val="001F58D8"/>
    <w:rsid w:val="00240036"/>
    <w:rsid w:val="0024716F"/>
    <w:rsid w:val="00272F0B"/>
    <w:rsid w:val="002845E8"/>
    <w:rsid w:val="0028670B"/>
    <w:rsid w:val="0029390F"/>
    <w:rsid w:val="002D3647"/>
    <w:rsid w:val="002F32BE"/>
    <w:rsid w:val="00307E6F"/>
    <w:rsid w:val="003208B8"/>
    <w:rsid w:val="003243CD"/>
    <w:rsid w:val="0036391D"/>
    <w:rsid w:val="003A4343"/>
    <w:rsid w:val="003D2C38"/>
    <w:rsid w:val="00441052"/>
    <w:rsid w:val="004426F7"/>
    <w:rsid w:val="00443EDF"/>
    <w:rsid w:val="004568AA"/>
    <w:rsid w:val="00460D9C"/>
    <w:rsid w:val="004755A7"/>
    <w:rsid w:val="00477DA8"/>
    <w:rsid w:val="00485C2E"/>
    <w:rsid w:val="0048762D"/>
    <w:rsid w:val="004A0CA7"/>
    <w:rsid w:val="004E0BAA"/>
    <w:rsid w:val="004E525C"/>
    <w:rsid w:val="004E660E"/>
    <w:rsid w:val="004F5BDA"/>
    <w:rsid w:val="0051525E"/>
    <w:rsid w:val="005318B1"/>
    <w:rsid w:val="00553A84"/>
    <w:rsid w:val="0055468F"/>
    <w:rsid w:val="00577DF9"/>
    <w:rsid w:val="0058121A"/>
    <w:rsid w:val="005B365A"/>
    <w:rsid w:val="005D2F91"/>
    <w:rsid w:val="005F7CCE"/>
    <w:rsid w:val="00600D99"/>
    <w:rsid w:val="006205C7"/>
    <w:rsid w:val="00621F52"/>
    <w:rsid w:val="00625D37"/>
    <w:rsid w:val="00625D55"/>
    <w:rsid w:val="00630A61"/>
    <w:rsid w:val="00642430"/>
    <w:rsid w:val="006768FA"/>
    <w:rsid w:val="006940C6"/>
    <w:rsid w:val="006A11DB"/>
    <w:rsid w:val="006F7F83"/>
    <w:rsid w:val="007013F9"/>
    <w:rsid w:val="00705018"/>
    <w:rsid w:val="00705777"/>
    <w:rsid w:val="00710784"/>
    <w:rsid w:val="00745E8A"/>
    <w:rsid w:val="00761F64"/>
    <w:rsid w:val="007E077B"/>
    <w:rsid w:val="007E1647"/>
    <w:rsid w:val="00807816"/>
    <w:rsid w:val="00813FB4"/>
    <w:rsid w:val="00821EE9"/>
    <w:rsid w:val="00824919"/>
    <w:rsid w:val="00852B5D"/>
    <w:rsid w:val="008A5A5C"/>
    <w:rsid w:val="008E1153"/>
    <w:rsid w:val="008F3828"/>
    <w:rsid w:val="009048E1"/>
    <w:rsid w:val="00917C25"/>
    <w:rsid w:val="009370D8"/>
    <w:rsid w:val="0094153A"/>
    <w:rsid w:val="009543C7"/>
    <w:rsid w:val="009574EF"/>
    <w:rsid w:val="009B2999"/>
    <w:rsid w:val="009D0316"/>
    <w:rsid w:val="009E3732"/>
    <w:rsid w:val="00A05CE6"/>
    <w:rsid w:val="00A21F84"/>
    <w:rsid w:val="00AB542B"/>
    <w:rsid w:val="00AC5187"/>
    <w:rsid w:val="00AC5B09"/>
    <w:rsid w:val="00AE3F94"/>
    <w:rsid w:val="00AF5910"/>
    <w:rsid w:val="00B12904"/>
    <w:rsid w:val="00B16D53"/>
    <w:rsid w:val="00B248E5"/>
    <w:rsid w:val="00B26052"/>
    <w:rsid w:val="00B40081"/>
    <w:rsid w:val="00B43D31"/>
    <w:rsid w:val="00B55AFF"/>
    <w:rsid w:val="00B83372"/>
    <w:rsid w:val="00BE5C94"/>
    <w:rsid w:val="00BF113E"/>
    <w:rsid w:val="00BF1432"/>
    <w:rsid w:val="00C00F38"/>
    <w:rsid w:val="00C06D19"/>
    <w:rsid w:val="00C520C7"/>
    <w:rsid w:val="00C80910"/>
    <w:rsid w:val="00C859BB"/>
    <w:rsid w:val="00D14F04"/>
    <w:rsid w:val="00D37C88"/>
    <w:rsid w:val="00D46C5F"/>
    <w:rsid w:val="00D61A59"/>
    <w:rsid w:val="00DE79B2"/>
    <w:rsid w:val="00DF00C6"/>
    <w:rsid w:val="00E60C8F"/>
    <w:rsid w:val="00E6739C"/>
    <w:rsid w:val="00EA4726"/>
    <w:rsid w:val="00EA5AE7"/>
    <w:rsid w:val="00EB1C5C"/>
    <w:rsid w:val="00ED5EDE"/>
    <w:rsid w:val="00F0352D"/>
    <w:rsid w:val="00F044A2"/>
    <w:rsid w:val="00F37225"/>
    <w:rsid w:val="00F404B3"/>
    <w:rsid w:val="00F51C6A"/>
    <w:rsid w:val="00F57FC6"/>
    <w:rsid w:val="00F665BA"/>
    <w:rsid w:val="00F735FE"/>
    <w:rsid w:val="00F76F77"/>
    <w:rsid w:val="00F82E3C"/>
    <w:rsid w:val="00FA2242"/>
    <w:rsid w:val="00FD17D0"/>
    <w:rsid w:val="00FD4DCF"/>
    <w:rsid w:val="732971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unhideWhenUsed/>
    <w:qFormat/>
    <w:tblPr>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unhideWhenUsed/>
    <w:rPr>
      <w:color w:val="800080"/>
      <w:u w:val="single"/>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emiHidden/>
    <w:rPr>
      <w:sz w:val="22"/>
      <w:szCs w:val="22"/>
      <w:lang w:eastAsia="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sz w:val="22"/>
      <w:szCs w:val="22"/>
      <w:lang w:eastAsia="en-U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5772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soe.es/senado/notas-de-prensa/el-senado-a-favor-de-seguir-impulsando-la-universalizacion-de-la-educacion-infantil-de-0-a-3-anos/" TargetMode="External"/><Relationship Id="rId18" Type="http://schemas.openxmlformats.org/officeDocument/2006/relationships/hyperlink" Target="https://impactodegeneroya.org/pge/pge-2014/" TargetMode="External"/><Relationship Id="rId3" Type="http://schemas.openxmlformats.org/officeDocument/2006/relationships/settings" Target="settings.xml"/><Relationship Id="rId21" Type="http://schemas.openxmlformats.org/officeDocument/2006/relationships/hyperlink" Target="http://www.ppiina.org" TargetMode="External"/><Relationship Id="rId7" Type="http://schemas.openxmlformats.org/officeDocument/2006/relationships/hyperlink" Target="https://www.researchgate.net/publication/346011995_Impacto_de_genero" TargetMode="External"/><Relationship Id="rId12" Type="http://schemas.openxmlformats.org/officeDocument/2006/relationships/hyperlink" Target="https://elpais.com/diario/2007/08/21/espana/1187647202_850215.html" TargetMode="External"/><Relationship Id="rId17" Type="http://schemas.openxmlformats.org/officeDocument/2006/relationships/hyperlink" Target="https://impactodegeneroya.org/presupuest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pg.pap.hacienda.gob.es/sitios/sepg/es-ES/Presupuestos/InformesImpacto/IIG2022/AccesoInformes/Documents/EJERCICIOS%20ANTERIORES/IIG_2011.pdf" TargetMode="External"/><Relationship Id="rId20" Type="http://schemas.openxmlformats.org/officeDocument/2006/relationships/hyperlink" Target="https://www.sepg.pap.hacienda.gob.es/sitios/sepg/es-ES/Presupuestos/InformesImpacto/IAPGE2023/PResultados/Paginas/Recursos-Resultado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uscar/act.php?id=BOE-A-2006-20764" TargetMode="External"/><Relationship Id="rId23" Type="http://schemas.openxmlformats.org/officeDocument/2006/relationships/footer" Target="footer1.xml"/><Relationship Id="rId10" Type="http://schemas.openxmlformats.org/officeDocument/2006/relationships/hyperlink" Target="https://estrategiadesinstitucionalizacion.gob.es/" TargetMode="External"/><Relationship Id="rId19" Type="http://schemas.openxmlformats.org/officeDocument/2006/relationships/hyperlink" Target="https://www.sepg.pap.hacienda.gob.es/sitios/sepg/es-ES/Presupuestos/InformesImpacto/IAPGE2023/Documents/Informe%20Impacto%20Genero%20PGE%202023.pdf" TargetMode="External"/><Relationship Id="rId4" Type="http://schemas.openxmlformats.org/officeDocument/2006/relationships/webSettings" Target="webSettings.xml"/><Relationship Id="rId9" Type="http://schemas.openxmlformats.org/officeDocument/2006/relationships/hyperlink" Target="https://cuartopilar.es/wp-content/uploads/2020/08/INFORME-4%C2%BA-Pilar-del-Estado-del-Bienestar.pdf" TargetMode="External"/><Relationship Id="rId14" Type="http://schemas.openxmlformats.org/officeDocument/2006/relationships/hyperlink" Target="https://www.magisnet.com/2021/09/universalizar-el-ciclo-0-3-tan-deseable-como-factible/" TargetMode="External"/><Relationship Id="rId22" Type="http://schemas.openxmlformats.org/officeDocument/2006/relationships/hyperlink" Target="https://www.ief.es/docs/destacados/publicaciones/papeles_trabajo/2024_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3653</Words>
  <Characters>18961</Characters>
  <Application>Microsoft Office Word</Application>
  <DocSecurity>0</DocSecurity>
  <Lines>305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22554</CharactersWithSpaces>
  <SharedDoc>false</SharedDoc>
  <HLinks>
    <vt:vector size="84" baseType="variant">
      <vt:variant>
        <vt:i4>2752615</vt:i4>
      </vt:variant>
      <vt:variant>
        <vt:i4>39</vt:i4>
      </vt:variant>
      <vt:variant>
        <vt:i4>0</vt:i4>
      </vt:variant>
      <vt:variant>
        <vt:i4>5</vt:i4>
      </vt:variant>
      <vt:variant>
        <vt:lpwstr>https://www.ief.es/docs/destacados/publicaciones/papeles_trabajo/2024_04.pdf</vt:lpwstr>
      </vt:variant>
      <vt:variant>
        <vt:lpwstr/>
      </vt:variant>
      <vt:variant>
        <vt:i4>3080224</vt:i4>
      </vt:variant>
      <vt:variant>
        <vt:i4>36</vt:i4>
      </vt:variant>
      <vt:variant>
        <vt:i4>0</vt:i4>
      </vt:variant>
      <vt:variant>
        <vt:i4>5</vt:i4>
      </vt:variant>
      <vt:variant>
        <vt:lpwstr>http://www.ppiina.org/</vt:lpwstr>
      </vt:variant>
      <vt:variant>
        <vt:lpwstr/>
      </vt:variant>
      <vt:variant>
        <vt:i4>3735591</vt:i4>
      </vt:variant>
      <vt:variant>
        <vt:i4>33</vt:i4>
      </vt:variant>
      <vt:variant>
        <vt:i4>0</vt:i4>
      </vt:variant>
      <vt:variant>
        <vt:i4>5</vt:i4>
      </vt:variant>
      <vt:variant>
        <vt:lpwstr>https://www.sepg.pap.hacienda.gob.es/sitios/sepg/es-ES/Presupuestos/InformesImpacto/IAPGE2023/PResultados/Paginas/Recursos-Resultados.aspx</vt:lpwstr>
      </vt:variant>
      <vt:variant>
        <vt:lpwstr/>
      </vt:variant>
      <vt:variant>
        <vt:i4>6619256</vt:i4>
      </vt:variant>
      <vt:variant>
        <vt:i4>30</vt:i4>
      </vt:variant>
      <vt:variant>
        <vt:i4>0</vt:i4>
      </vt:variant>
      <vt:variant>
        <vt:i4>5</vt:i4>
      </vt:variant>
      <vt:variant>
        <vt:lpwstr>https://www.sepg.pap.hacienda.gob.es/sitios/sepg/es-ES/Presupuestos/InformesImpacto/IAPGE2023/Documents/Informe Impacto Genero PGE 2023.pdf</vt:lpwstr>
      </vt:variant>
      <vt:variant>
        <vt:lpwstr/>
      </vt:variant>
      <vt:variant>
        <vt:i4>7995445</vt:i4>
      </vt:variant>
      <vt:variant>
        <vt:i4>27</vt:i4>
      </vt:variant>
      <vt:variant>
        <vt:i4>0</vt:i4>
      </vt:variant>
      <vt:variant>
        <vt:i4>5</vt:i4>
      </vt:variant>
      <vt:variant>
        <vt:lpwstr>https://impactodegeneroya.org/pge/pge-2014/</vt:lpwstr>
      </vt:variant>
      <vt:variant>
        <vt:lpwstr/>
      </vt:variant>
      <vt:variant>
        <vt:i4>7274559</vt:i4>
      </vt:variant>
      <vt:variant>
        <vt:i4>24</vt:i4>
      </vt:variant>
      <vt:variant>
        <vt:i4>0</vt:i4>
      </vt:variant>
      <vt:variant>
        <vt:i4>5</vt:i4>
      </vt:variant>
      <vt:variant>
        <vt:lpwstr>https://impactodegeneroya.org/presupuestos/</vt:lpwstr>
      </vt:variant>
      <vt:variant>
        <vt:lpwstr/>
      </vt:variant>
      <vt:variant>
        <vt:i4>6291474</vt:i4>
      </vt:variant>
      <vt:variant>
        <vt:i4>21</vt:i4>
      </vt:variant>
      <vt:variant>
        <vt:i4>0</vt:i4>
      </vt:variant>
      <vt:variant>
        <vt:i4>5</vt:i4>
      </vt:variant>
      <vt:variant>
        <vt:lpwstr>https://www.sepg.pap.hacienda.gob.es/sitios/sepg/es-ES/Presupuestos/InformesImpacto/IIG2022/AccesoInformes/Documents/EJERCICIOS ANTERIORES/IIG_2011.pdf</vt:lpwstr>
      </vt:variant>
      <vt:variant>
        <vt:lpwstr/>
      </vt:variant>
      <vt:variant>
        <vt:i4>1310788</vt:i4>
      </vt:variant>
      <vt:variant>
        <vt:i4>18</vt:i4>
      </vt:variant>
      <vt:variant>
        <vt:i4>0</vt:i4>
      </vt:variant>
      <vt:variant>
        <vt:i4>5</vt:i4>
      </vt:variant>
      <vt:variant>
        <vt:lpwstr>https://www.boe.es/buscar/act.php?id=BOE-A-2006-20764</vt:lpwstr>
      </vt:variant>
      <vt:variant>
        <vt:lpwstr/>
      </vt:variant>
      <vt:variant>
        <vt:i4>3538991</vt:i4>
      </vt:variant>
      <vt:variant>
        <vt:i4>15</vt:i4>
      </vt:variant>
      <vt:variant>
        <vt:i4>0</vt:i4>
      </vt:variant>
      <vt:variant>
        <vt:i4>5</vt:i4>
      </vt:variant>
      <vt:variant>
        <vt:lpwstr>https://www.magisnet.com/2021/09/universalizar-el-ciclo-0-3-tan-deseable-como-factible/</vt:lpwstr>
      </vt:variant>
      <vt:variant>
        <vt:lpwstr/>
      </vt:variant>
      <vt:variant>
        <vt:i4>4456453</vt:i4>
      </vt:variant>
      <vt:variant>
        <vt:i4>12</vt:i4>
      </vt:variant>
      <vt:variant>
        <vt:i4>0</vt:i4>
      </vt:variant>
      <vt:variant>
        <vt:i4>5</vt:i4>
      </vt:variant>
      <vt:variant>
        <vt:lpwstr>https://www.psoe.es/senado/notas-de-prensa/el-senado-a-favor-de-seguir-impulsando-la-universalizacion-de-la-educacion-infantil-de-0-a-3-anos/</vt:lpwstr>
      </vt:variant>
      <vt:variant>
        <vt:lpwstr/>
      </vt:variant>
      <vt:variant>
        <vt:i4>6422541</vt:i4>
      </vt:variant>
      <vt:variant>
        <vt:i4>9</vt:i4>
      </vt:variant>
      <vt:variant>
        <vt:i4>0</vt:i4>
      </vt:variant>
      <vt:variant>
        <vt:i4>5</vt:i4>
      </vt:variant>
      <vt:variant>
        <vt:lpwstr>https://elpais.com/diario/2007/08/21/espana/1187647202_850215.html</vt:lpwstr>
      </vt:variant>
      <vt:variant>
        <vt:lpwstr/>
      </vt:variant>
      <vt:variant>
        <vt:i4>71</vt:i4>
      </vt:variant>
      <vt:variant>
        <vt:i4>6</vt:i4>
      </vt:variant>
      <vt:variant>
        <vt:i4>0</vt:i4>
      </vt:variant>
      <vt:variant>
        <vt:i4>5</vt:i4>
      </vt:variant>
      <vt:variant>
        <vt:lpwstr>https://estrategiadesinstitucionalizacion.gob.es/</vt:lpwstr>
      </vt:variant>
      <vt:variant>
        <vt:lpwstr/>
      </vt:variant>
      <vt:variant>
        <vt:i4>1310784</vt:i4>
      </vt:variant>
      <vt:variant>
        <vt:i4>3</vt:i4>
      </vt:variant>
      <vt:variant>
        <vt:i4>0</vt:i4>
      </vt:variant>
      <vt:variant>
        <vt:i4>5</vt:i4>
      </vt:variant>
      <vt:variant>
        <vt:lpwstr>https://cuartopilar.es/wp-content/uploads/2020/08/INFORME-4%C2%BA-Pilar-del-Estado-del-Bienestar.pdf</vt:lpwstr>
      </vt:variant>
      <vt:variant>
        <vt:lpwstr/>
      </vt:variant>
      <vt:variant>
        <vt:i4>2621456</vt:i4>
      </vt:variant>
      <vt:variant>
        <vt:i4>0</vt:i4>
      </vt:variant>
      <vt:variant>
        <vt:i4>0</vt:i4>
      </vt:variant>
      <vt:variant>
        <vt:i4>5</vt:i4>
      </vt:variant>
      <vt:variant>
        <vt:lpwstr>https://www.researchgate.net/publication/346011995_Impacto_de_genero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cp:lastModifiedBy>Maria</cp:lastModifiedBy>
  <cp:revision>2</cp:revision>
  <dcterms:created xsi:type="dcterms:W3CDTF">2025-01-22T23:26:00Z</dcterms:created>
  <dcterms:modified xsi:type="dcterms:W3CDTF">2025-01-22T23:26:00Z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5B46121628354FF0852FC0D7770BC40A_12</vt:lpwstr>
  </property>
</Properties>
</file>